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0E09E0" w14:textId="758D15DD" w:rsidR="006F31A9" w:rsidRDefault="006F31A9" w:rsidP="00A57850">
      <w:pPr>
        <w:spacing w:line="276" w:lineRule="auto"/>
        <w:rPr>
          <w:rFonts w:ascii="Minion Pro" w:eastAsia="Minion Pro" w:hAnsi="Minion Pro" w:cs="Minion Pro"/>
          <w:b/>
          <w:bCs/>
          <w:color w:val="337AB7"/>
          <w:sz w:val="36"/>
          <w:szCs w:val="36"/>
        </w:rPr>
      </w:pPr>
      <w:r w:rsidRPr="006F31A9">
        <w:rPr>
          <w:rFonts w:ascii="Minion Pro" w:eastAsia="Minion Pro" w:hAnsi="Minion Pro" w:cs="Minion Pro"/>
          <w:b/>
          <w:bCs/>
          <w:color w:val="337AB7"/>
          <w:sz w:val="36"/>
          <w:szCs w:val="36"/>
        </w:rPr>
        <w:t xml:space="preserve">Insulin </w:t>
      </w:r>
      <w:r w:rsidR="00727FC3">
        <w:rPr>
          <w:rFonts w:ascii="Minion Pro" w:eastAsia="Minion Pro" w:hAnsi="Minion Pro" w:cs="Minion Pro"/>
          <w:b/>
          <w:bCs/>
          <w:color w:val="337AB7"/>
          <w:sz w:val="36"/>
          <w:szCs w:val="36"/>
        </w:rPr>
        <w:t>Topical E</w:t>
      </w:r>
      <w:r w:rsidRPr="006F31A9">
        <w:rPr>
          <w:rFonts w:ascii="Minion Pro" w:eastAsia="Minion Pro" w:hAnsi="Minion Pro" w:cs="Minion Pro"/>
          <w:b/>
          <w:bCs/>
          <w:color w:val="337AB7"/>
          <w:sz w:val="36"/>
          <w:szCs w:val="36"/>
        </w:rPr>
        <w:t xml:space="preserve">ye </w:t>
      </w:r>
      <w:r w:rsidR="00727FC3">
        <w:rPr>
          <w:rFonts w:ascii="Minion Pro" w:eastAsia="Minion Pro" w:hAnsi="Minion Pro" w:cs="Minion Pro"/>
          <w:b/>
          <w:bCs/>
          <w:color w:val="337AB7"/>
          <w:sz w:val="36"/>
          <w:szCs w:val="36"/>
        </w:rPr>
        <w:t>D</w:t>
      </w:r>
      <w:r w:rsidRPr="006F31A9">
        <w:rPr>
          <w:rFonts w:ascii="Minion Pro" w:eastAsia="Minion Pro" w:hAnsi="Minion Pro" w:cs="Minion Pro"/>
          <w:b/>
          <w:bCs/>
          <w:color w:val="337AB7"/>
          <w:sz w:val="36"/>
          <w:szCs w:val="36"/>
        </w:rPr>
        <w:t xml:space="preserve">rops </w:t>
      </w:r>
      <w:r w:rsidR="00727FC3">
        <w:rPr>
          <w:rFonts w:ascii="Minion Pro" w:eastAsia="Minion Pro" w:hAnsi="Minion Pro" w:cs="Minion Pro"/>
          <w:b/>
          <w:bCs/>
          <w:color w:val="337AB7"/>
          <w:sz w:val="36"/>
          <w:szCs w:val="36"/>
        </w:rPr>
        <w:t>for</w:t>
      </w:r>
      <w:r w:rsidRPr="006F31A9">
        <w:rPr>
          <w:rFonts w:ascii="Minion Pro" w:eastAsia="Minion Pro" w:hAnsi="Minion Pro" w:cs="Minion Pro"/>
          <w:b/>
          <w:bCs/>
          <w:color w:val="337AB7"/>
          <w:sz w:val="36"/>
          <w:szCs w:val="36"/>
        </w:rPr>
        <w:t xml:space="preserve"> </w:t>
      </w:r>
      <w:r w:rsidR="00727FC3">
        <w:rPr>
          <w:rFonts w:ascii="Minion Pro" w:eastAsia="Minion Pro" w:hAnsi="Minion Pro" w:cs="Minion Pro"/>
          <w:b/>
          <w:bCs/>
          <w:color w:val="337AB7"/>
          <w:sz w:val="36"/>
          <w:szCs w:val="36"/>
        </w:rPr>
        <w:t>T</w:t>
      </w:r>
      <w:r>
        <w:rPr>
          <w:rFonts w:ascii="Minion Pro" w:eastAsia="Minion Pro" w:hAnsi="Minion Pro" w:cs="Minion Pro"/>
          <w:b/>
          <w:bCs/>
          <w:color w:val="337AB7"/>
          <w:sz w:val="36"/>
          <w:szCs w:val="36"/>
        </w:rPr>
        <w:t xml:space="preserve">reating </w:t>
      </w:r>
      <w:r w:rsidR="00701569">
        <w:rPr>
          <w:rFonts w:ascii="Minion Pro" w:eastAsia="Minion Pro" w:hAnsi="Minion Pro" w:cs="Minion Pro"/>
          <w:b/>
          <w:bCs/>
          <w:color w:val="337AB7"/>
          <w:sz w:val="36"/>
          <w:szCs w:val="36"/>
        </w:rPr>
        <w:t>Persistent Corneal Epithelial Defects</w:t>
      </w:r>
    </w:p>
    <w:p w14:paraId="16CB1C22" w14:textId="410567FF" w:rsidR="00A57850" w:rsidRDefault="00A57850" w:rsidP="0022450B">
      <w:pPr>
        <w:spacing w:line="276" w:lineRule="auto"/>
        <w:rPr>
          <w:rFonts w:ascii="Calibri" w:eastAsia="Calibri" w:hAnsi="Calibri"/>
          <w:sz w:val="20"/>
          <w:szCs w:val="20"/>
          <w:vertAlign w:val="superscript"/>
        </w:rPr>
      </w:pPr>
      <w:bookmarkStart w:id="0" w:name="_GoBack"/>
      <w:r w:rsidRPr="00EA6168">
        <w:rPr>
          <w:bCs/>
          <w:sz w:val="20"/>
          <w:szCs w:val="20"/>
        </w:rPr>
        <w:t>Ahmad Kunbaz</w:t>
      </w:r>
      <w:bookmarkEnd w:id="0"/>
      <w:r w:rsidRPr="00EA6168">
        <w:rPr>
          <w:rFonts w:ascii="Calibri" w:eastAsia="Calibri" w:hAnsi="Calibri"/>
          <w:sz w:val="20"/>
          <w:szCs w:val="20"/>
          <w:vertAlign w:val="superscript"/>
        </w:rPr>
        <w:t>1</w:t>
      </w:r>
      <w:proofErr w:type="gramStart"/>
      <w:r w:rsidRPr="00EA6168">
        <w:rPr>
          <w:rFonts w:ascii="Calibri" w:eastAsia="Calibri" w:hAnsi="Calibri"/>
          <w:sz w:val="20"/>
          <w:szCs w:val="20"/>
          <w:vertAlign w:val="superscript"/>
        </w:rPr>
        <w:t>,2</w:t>
      </w:r>
      <w:proofErr w:type="gramEnd"/>
      <w:r w:rsidRPr="00EA6168">
        <w:rPr>
          <w:rFonts w:ascii="Calibri" w:eastAsia="Calibri" w:hAnsi="Calibri"/>
          <w:sz w:val="20"/>
          <w:szCs w:val="20"/>
        </w:rPr>
        <w:t xml:space="preserve">, </w:t>
      </w:r>
      <w:proofErr w:type="spellStart"/>
      <w:r w:rsidRPr="00EA6168">
        <w:rPr>
          <w:rFonts w:ascii="Calibri" w:eastAsia="Calibri" w:hAnsi="Calibri"/>
          <w:sz w:val="20"/>
          <w:szCs w:val="20"/>
        </w:rPr>
        <w:t>Ömer</w:t>
      </w:r>
      <w:proofErr w:type="spellEnd"/>
      <w:r w:rsidRPr="00EA6168">
        <w:rPr>
          <w:rFonts w:ascii="Calibri" w:eastAsia="Calibri" w:hAnsi="Calibri"/>
          <w:sz w:val="20"/>
          <w:szCs w:val="20"/>
        </w:rPr>
        <w:t xml:space="preserve"> </w:t>
      </w:r>
      <w:proofErr w:type="spellStart"/>
      <w:r w:rsidRPr="00EA6168">
        <w:rPr>
          <w:rFonts w:ascii="Calibri" w:eastAsia="Calibri" w:hAnsi="Calibri"/>
          <w:sz w:val="20"/>
          <w:szCs w:val="20"/>
        </w:rPr>
        <w:t>Faruk</w:t>
      </w:r>
      <w:proofErr w:type="spellEnd"/>
      <w:r w:rsidRPr="00EA6168">
        <w:rPr>
          <w:rFonts w:ascii="Calibri" w:eastAsia="Calibri" w:hAnsi="Calibri"/>
          <w:sz w:val="20"/>
          <w:szCs w:val="20"/>
        </w:rPr>
        <w:t xml:space="preserve"> Yılmaz</w:t>
      </w:r>
      <w:r w:rsidRPr="00EA6168">
        <w:rPr>
          <w:rFonts w:ascii="Calibri" w:eastAsia="Calibri" w:hAnsi="Calibri"/>
          <w:sz w:val="20"/>
          <w:szCs w:val="20"/>
          <w:vertAlign w:val="superscript"/>
        </w:rPr>
        <w:t>1</w:t>
      </w:r>
      <w:r w:rsidR="00D65A77">
        <w:rPr>
          <w:rFonts w:ascii="Calibri" w:eastAsia="Calibri" w:hAnsi="Calibri"/>
          <w:sz w:val="20"/>
          <w:szCs w:val="20"/>
          <w:vertAlign w:val="superscript"/>
        </w:rPr>
        <w:t xml:space="preserve"> </w:t>
      </w:r>
      <w:r w:rsidR="00D65A77">
        <w:rPr>
          <w:rFonts w:ascii="Calibri" w:eastAsia="Calibri" w:hAnsi="Calibri"/>
          <w:sz w:val="20"/>
          <w:szCs w:val="20"/>
        </w:rPr>
        <w:t xml:space="preserve">, </w:t>
      </w:r>
      <w:proofErr w:type="spellStart"/>
      <w:r w:rsidR="00D65A77">
        <w:rPr>
          <w:rFonts w:ascii="Calibri" w:eastAsia="Calibri" w:hAnsi="Calibri"/>
          <w:sz w:val="20"/>
          <w:szCs w:val="20"/>
        </w:rPr>
        <w:t>H</w:t>
      </w:r>
      <w:r w:rsidR="00D65A77" w:rsidRPr="00EA6168">
        <w:rPr>
          <w:rFonts w:ascii="Calibri" w:eastAsia="Calibri" w:hAnsi="Calibri"/>
          <w:sz w:val="20"/>
          <w:szCs w:val="20"/>
        </w:rPr>
        <w:t>alit</w:t>
      </w:r>
      <w:proofErr w:type="spellEnd"/>
      <w:r w:rsidR="00D65A77" w:rsidRPr="00EA6168">
        <w:rPr>
          <w:rFonts w:ascii="Calibri" w:eastAsia="Calibri" w:hAnsi="Calibri"/>
          <w:sz w:val="20"/>
          <w:szCs w:val="20"/>
        </w:rPr>
        <w:t xml:space="preserve"> </w:t>
      </w:r>
      <w:proofErr w:type="spellStart"/>
      <w:r w:rsidR="00D65A77" w:rsidRPr="00EA6168">
        <w:rPr>
          <w:rFonts w:ascii="Calibri" w:eastAsia="Calibri" w:hAnsi="Calibri"/>
          <w:sz w:val="20"/>
          <w:szCs w:val="20"/>
        </w:rPr>
        <w:t>Oğuz</w:t>
      </w:r>
      <w:proofErr w:type="spellEnd"/>
      <w:r w:rsidR="00D65A77" w:rsidRPr="00EA6168">
        <w:rPr>
          <w:rFonts w:ascii="Calibri" w:eastAsia="Calibri" w:hAnsi="Calibri"/>
          <w:sz w:val="20"/>
          <w:szCs w:val="20"/>
        </w:rPr>
        <w:t xml:space="preserve"> </w:t>
      </w:r>
      <w:r w:rsidR="00D65A77" w:rsidRPr="00EA6168">
        <w:rPr>
          <w:rFonts w:ascii="Calibri" w:eastAsia="Calibri" w:hAnsi="Calibri"/>
          <w:sz w:val="20"/>
          <w:szCs w:val="20"/>
          <w:vertAlign w:val="superscript"/>
        </w:rPr>
        <w:t>1,2</w:t>
      </w:r>
    </w:p>
    <w:p w14:paraId="09030192" w14:textId="25D225F0" w:rsidR="00A57850" w:rsidRDefault="00A57850" w:rsidP="00A57850">
      <w:pPr>
        <w:spacing w:after="160" w:line="276" w:lineRule="auto"/>
        <w:rPr>
          <w:rFonts w:eastAsia="Calibri"/>
          <w:sz w:val="20"/>
          <w:szCs w:val="20"/>
        </w:rPr>
      </w:pPr>
      <w:r w:rsidRPr="00EA6168">
        <w:rPr>
          <w:rFonts w:eastAsia="Calibri"/>
          <w:sz w:val="20"/>
          <w:szCs w:val="20"/>
        </w:rPr>
        <w:t xml:space="preserve">1 </w:t>
      </w:r>
      <w:proofErr w:type="spellStart"/>
      <w:r w:rsidRPr="00EA6168">
        <w:rPr>
          <w:rFonts w:eastAsia="Calibri"/>
          <w:sz w:val="20"/>
          <w:szCs w:val="20"/>
        </w:rPr>
        <w:t>Goztepe</w:t>
      </w:r>
      <w:proofErr w:type="spellEnd"/>
      <w:r w:rsidRPr="00EA6168">
        <w:rPr>
          <w:rFonts w:eastAsia="Calibri"/>
          <w:sz w:val="20"/>
          <w:szCs w:val="20"/>
        </w:rPr>
        <w:t xml:space="preserve"> Prof. </w:t>
      </w:r>
      <w:proofErr w:type="spellStart"/>
      <w:r w:rsidR="001C2645">
        <w:rPr>
          <w:rFonts w:eastAsia="Calibri"/>
          <w:sz w:val="20"/>
          <w:szCs w:val="20"/>
        </w:rPr>
        <w:t>Dr</w:t>
      </w:r>
      <w:proofErr w:type="spellEnd"/>
      <w:r w:rsidRPr="00EA6168">
        <w:rPr>
          <w:rFonts w:eastAsia="Calibri"/>
          <w:sz w:val="20"/>
          <w:szCs w:val="20"/>
        </w:rPr>
        <w:t xml:space="preserve"> </w:t>
      </w:r>
      <w:proofErr w:type="spellStart"/>
      <w:r w:rsidRPr="00EA6168">
        <w:rPr>
          <w:rFonts w:eastAsia="Calibri"/>
          <w:sz w:val="20"/>
          <w:szCs w:val="20"/>
        </w:rPr>
        <w:t>Süleyman</w:t>
      </w:r>
      <w:proofErr w:type="spellEnd"/>
      <w:r w:rsidRPr="00EA6168">
        <w:rPr>
          <w:rFonts w:eastAsia="Calibri"/>
          <w:sz w:val="20"/>
          <w:szCs w:val="20"/>
        </w:rPr>
        <w:t xml:space="preserve"> </w:t>
      </w:r>
      <w:proofErr w:type="spellStart"/>
      <w:r w:rsidRPr="00EA6168">
        <w:rPr>
          <w:rFonts w:eastAsia="Calibri"/>
          <w:sz w:val="20"/>
          <w:szCs w:val="20"/>
        </w:rPr>
        <w:t>Yalçin</w:t>
      </w:r>
      <w:proofErr w:type="spellEnd"/>
      <w:r w:rsidRPr="00EA6168">
        <w:rPr>
          <w:rFonts w:eastAsia="Calibri"/>
          <w:sz w:val="20"/>
          <w:szCs w:val="20"/>
        </w:rPr>
        <w:t xml:space="preserve"> City Hospital, Eye clinic, Istanbul, Turkey</w:t>
      </w:r>
    </w:p>
    <w:p w14:paraId="536000E0" w14:textId="77777777" w:rsidR="00A57850" w:rsidRDefault="00A57850" w:rsidP="00A57850">
      <w:pPr>
        <w:spacing w:after="160" w:line="276" w:lineRule="auto"/>
        <w:rPr>
          <w:rFonts w:eastAsia="Calibri"/>
          <w:sz w:val="20"/>
          <w:szCs w:val="20"/>
        </w:rPr>
      </w:pPr>
      <w:r w:rsidRPr="00EA6168">
        <w:rPr>
          <w:rFonts w:eastAsia="Calibri"/>
          <w:sz w:val="20"/>
          <w:szCs w:val="20"/>
        </w:rPr>
        <w:t xml:space="preserve">2 Istanbul </w:t>
      </w:r>
      <w:proofErr w:type="spellStart"/>
      <w:r w:rsidRPr="00EA6168">
        <w:rPr>
          <w:rFonts w:eastAsia="Calibri"/>
          <w:sz w:val="20"/>
          <w:szCs w:val="20"/>
        </w:rPr>
        <w:t>Medeniyet</w:t>
      </w:r>
      <w:proofErr w:type="spellEnd"/>
      <w:r w:rsidRPr="00EA6168">
        <w:rPr>
          <w:rFonts w:eastAsia="Calibri"/>
          <w:sz w:val="20"/>
          <w:szCs w:val="20"/>
        </w:rPr>
        <w:t xml:space="preserve"> University </w:t>
      </w:r>
      <w:proofErr w:type="gramStart"/>
      <w:r w:rsidRPr="00EA6168">
        <w:rPr>
          <w:rFonts w:eastAsia="Calibri"/>
          <w:sz w:val="20"/>
          <w:szCs w:val="20"/>
        </w:rPr>
        <w:t>Faculty</w:t>
      </w:r>
      <w:proofErr w:type="gramEnd"/>
      <w:r w:rsidRPr="00EA6168">
        <w:rPr>
          <w:rFonts w:eastAsia="Calibri"/>
          <w:sz w:val="20"/>
          <w:szCs w:val="20"/>
        </w:rPr>
        <w:t xml:space="preserve"> of Medicine, Department of Ophthalmology, Istanbul, Turkey</w:t>
      </w:r>
    </w:p>
    <w:p w14:paraId="67D2DD49" w14:textId="77777777" w:rsidR="00AE3E37" w:rsidRDefault="00AE3E37" w:rsidP="00A57850">
      <w:pPr>
        <w:pStyle w:val="BodyText"/>
        <w:rPr>
          <w:rFonts w:ascii="Arial"/>
          <w:sz w:val="20"/>
        </w:rPr>
      </w:pPr>
    </w:p>
    <w:p w14:paraId="1F802FFC"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3BD90B2" w14:textId="0A061D17" w:rsidR="00AE3E37" w:rsidRDefault="00A9710C">
      <w:pPr>
        <w:pStyle w:val="Heading3"/>
        <w:spacing w:before="147"/>
        <w:jc w:val="both"/>
      </w:pPr>
      <w:r>
        <w:rPr>
          <w:color w:val="BF5A14"/>
        </w:rPr>
        <w:lastRenderedPageBreak/>
        <w:t>Abstract</w:t>
      </w:r>
      <w:r w:rsidR="00404E5B">
        <w:rPr>
          <w:color w:val="BF5A14"/>
        </w:rPr>
        <w:t xml:space="preserve"> </w:t>
      </w:r>
    </w:p>
    <w:p w14:paraId="5522BBBC" w14:textId="6805740A" w:rsidR="00D87D59" w:rsidRDefault="00FE7160" w:rsidP="00015D22">
      <w:pPr>
        <w:pStyle w:val="BodyText"/>
        <w:spacing w:before="90" w:line="280" w:lineRule="auto"/>
        <w:ind w:left="100"/>
        <w:jc w:val="both"/>
      </w:pPr>
      <w:r>
        <w:rPr>
          <w:rStyle w:val="Strong"/>
          <w:color w:val="0E101A"/>
        </w:rPr>
        <w:t>Introduction and objective</w:t>
      </w:r>
      <w:r>
        <w:t>: Persistent corneal epithelial defects (PCED) are failure of re-</w:t>
      </w:r>
      <w:proofErr w:type="spellStart"/>
      <w:r>
        <w:t>epithelization</w:t>
      </w:r>
      <w:proofErr w:type="spellEnd"/>
      <w:r>
        <w:t xml:space="preserve"> and healing of corneal defects within 14 days of the initial injury. Different treatment approaches are used to treat PCED, such as bandage contact lenses, artificial tears, and amnion membrane transplantation</w:t>
      </w:r>
      <w:r w:rsidR="000469E9">
        <w:t xml:space="preserve"> (AMT)</w:t>
      </w:r>
      <w:r>
        <w:t xml:space="preserve">. However, these treatments may fail to accomplish the required cure for PCED. </w:t>
      </w:r>
      <w:r w:rsidR="00D87D59" w:rsidRPr="00D87D59">
        <w:t>In this study, we present a case series whose permanent epithelial defects did not respond to all other treatments but were treated with insulin eye drops.</w:t>
      </w:r>
    </w:p>
    <w:p w14:paraId="31BB65F0" w14:textId="7412CA3A" w:rsidR="007704BB" w:rsidRDefault="007518B8" w:rsidP="00015D22">
      <w:pPr>
        <w:pStyle w:val="BodyText"/>
        <w:spacing w:before="90" w:line="280" w:lineRule="auto"/>
        <w:ind w:left="100"/>
        <w:jc w:val="both"/>
      </w:pPr>
      <w:r>
        <w:rPr>
          <w:rStyle w:val="Strong"/>
          <w:color w:val="0E101A"/>
        </w:rPr>
        <w:t>Cases</w:t>
      </w:r>
      <w:r w:rsidR="001F1B38">
        <w:t xml:space="preserve">: A retrospective study includes three patients with PCED. These patients were treated with insulin eye </w:t>
      </w:r>
      <w:r w:rsidR="000469E9">
        <w:t>drops of</w:t>
      </w:r>
      <w:r w:rsidR="001F1B38">
        <w:t xml:space="preserve"> 1 U/mL three times a day for three weeks following the failure of other treatment modalities</w:t>
      </w:r>
      <w:r w:rsidR="007704BB">
        <w:t>.</w:t>
      </w:r>
      <w:r w:rsidR="001F1B38">
        <w:t> </w:t>
      </w:r>
      <w:r w:rsidR="007704BB" w:rsidRPr="007704BB">
        <w:t xml:space="preserve">The </w:t>
      </w:r>
      <w:r w:rsidR="007704BB">
        <w:t>first</w:t>
      </w:r>
      <w:r w:rsidR="007704BB" w:rsidRPr="007704BB">
        <w:t xml:space="preserve"> patient is a healthy 45-year-old male. He had PCED after </w:t>
      </w:r>
      <w:r w:rsidR="007704BB">
        <w:t xml:space="preserve">a </w:t>
      </w:r>
      <w:r w:rsidR="007704BB" w:rsidRPr="007704BB">
        <w:t>foreign body</w:t>
      </w:r>
      <w:r w:rsidR="000469E9">
        <w:t xml:space="preserve"> removal</w:t>
      </w:r>
      <w:r w:rsidR="007704BB" w:rsidRPr="007704BB">
        <w:t>. PCED did not close with autologous serum</w:t>
      </w:r>
      <w:r w:rsidR="000469E9">
        <w:t>, AMT</w:t>
      </w:r>
      <w:r w:rsidR="007704BB" w:rsidRPr="007704BB">
        <w:t xml:space="preserve">, and platelet-rich fibrin membrane transplantation. PCED was </w:t>
      </w:r>
      <w:r w:rsidR="009A1191">
        <w:t>closed entirely</w:t>
      </w:r>
      <w:r w:rsidR="007704BB" w:rsidRPr="007704BB">
        <w:t xml:space="preserve"> in the 2</w:t>
      </w:r>
      <w:r w:rsidR="007704BB" w:rsidRPr="0094797E">
        <w:rPr>
          <w:vertAlign w:val="superscript"/>
        </w:rPr>
        <w:t>nd</w:t>
      </w:r>
      <w:r w:rsidR="0094797E">
        <w:t>-</w:t>
      </w:r>
      <w:r w:rsidR="007704BB" w:rsidRPr="007704BB">
        <w:t xml:space="preserve">week after topical insulin therapy. </w:t>
      </w:r>
      <w:r w:rsidRPr="007518B8">
        <w:t>(</w:t>
      </w:r>
      <w:r>
        <w:t>Figures</w:t>
      </w:r>
      <w:r w:rsidRPr="007518B8">
        <w:t xml:space="preserve"> A</w:t>
      </w:r>
      <w:r w:rsidR="007704BB">
        <w:t>1</w:t>
      </w:r>
      <w:r w:rsidRPr="007518B8">
        <w:t xml:space="preserve"> and B</w:t>
      </w:r>
      <w:r w:rsidR="007704BB">
        <w:t>1</w:t>
      </w:r>
      <w:r w:rsidRPr="007518B8">
        <w:t>)</w:t>
      </w:r>
      <w:r>
        <w:t>.</w:t>
      </w:r>
      <w:r w:rsidR="00225971">
        <w:t xml:space="preserve"> </w:t>
      </w:r>
      <w:r w:rsidR="007704BB">
        <w:t>The second patient</w:t>
      </w:r>
      <w:r w:rsidR="00200067">
        <w:t>,</w:t>
      </w:r>
      <w:r w:rsidR="007704BB">
        <w:t xml:space="preserve"> </w:t>
      </w:r>
      <w:r w:rsidR="000469E9">
        <w:t>a</w:t>
      </w:r>
      <w:r w:rsidR="007704BB" w:rsidRPr="007704BB">
        <w:t xml:space="preserve"> 52-year-old male</w:t>
      </w:r>
      <w:r w:rsidR="007704BB">
        <w:t>,</w:t>
      </w:r>
      <w:r w:rsidR="007704BB" w:rsidRPr="007704BB">
        <w:t xml:space="preserve"> presented with peripheral ulcerative keratitis; He used antibiotic eye drops and non-preservative artificial tears for two weeks, but PCED did not improve. PCED </w:t>
      </w:r>
      <w:r w:rsidR="009A1191">
        <w:t>entirely resolved</w:t>
      </w:r>
      <w:r w:rsidR="007704BB" w:rsidRPr="007704BB">
        <w:t xml:space="preserve"> in the 1</w:t>
      </w:r>
      <w:r w:rsidR="007704BB" w:rsidRPr="0094797E">
        <w:rPr>
          <w:vertAlign w:val="superscript"/>
        </w:rPr>
        <w:t>st</w:t>
      </w:r>
      <w:r w:rsidR="0094797E">
        <w:t>-</w:t>
      </w:r>
      <w:r w:rsidR="007704BB" w:rsidRPr="007704BB">
        <w:t>week of topical insulin therapy.</w:t>
      </w:r>
      <w:r w:rsidR="007704BB">
        <w:t xml:space="preserve"> (Figures A2 and B2). </w:t>
      </w:r>
      <w:r w:rsidR="007704BB" w:rsidRPr="007704BB">
        <w:t xml:space="preserve">The third patient is a 55-year-old woman with diabetes, rheumatoid arthritis, and glaucoma. Bilateral patch </w:t>
      </w:r>
      <w:proofErr w:type="spellStart"/>
      <w:r w:rsidR="007704BB" w:rsidRPr="007704BB">
        <w:t>keratoplasty</w:t>
      </w:r>
      <w:proofErr w:type="spellEnd"/>
      <w:r w:rsidR="007704BB" w:rsidRPr="007704BB">
        <w:t xml:space="preserve"> was performed for 1 year due to </w:t>
      </w:r>
      <w:proofErr w:type="spellStart"/>
      <w:r w:rsidR="007704BB" w:rsidRPr="007704BB">
        <w:t>desmatocele</w:t>
      </w:r>
      <w:proofErr w:type="spellEnd"/>
      <w:r w:rsidR="007704BB" w:rsidRPr="007704BB">
        <w:t>. A non-healing ulcer developed in the corneal patch graft. Although all treatments</w:t>
      </w:r>
      <w:r w:rsidR="007704BB">
        <w:t>,</w:t>
      </w:r>
      <w:r w:rsidR="007704BB" w:rsidRPr="007704BB">
        <w:t xml:space="preserve"> such as autologous serum, </w:t>
      </w:r>
      <w:r w:rsidR="009A1191">
        <w:t>four</w:t>
      </w:r>
      <w:r w:rsidR="007704BB" w:rsidRPr="007704BB">
        <w:t xml:space="preserve"> </w:t>
      </w:r>
      <w:proofErr w:type="gramStart"/>
      <w:r w:rsidR="007704BB" w:rsidRPr="007704BB">
        <w:t>times</w:t>
      </w:r>
      <w:proofErr w:type="gramEnd"/>
      <w:r w:rsidR="007704BB" w:rsidRPr="007704BB">
        <w:t xml:space="preserve"> amniotic membrane, </w:t>
      </w:r>
      <w:r w:rsidR="007704BB">
        <w:t xml:space="preserve">and </w:t>
      </w:r>
      <w:r w:rsidR="007704BB" w:rsidRPr="007704BB">
        <w:t>bandage contact lens</w:t>
      </w:r>
      <w:r w:rsidR="000469E9">
        <w:t xml:space="preserve"> </w:t>
      </w:r>
      <w:r w:rsidR="007704BB" w:rsidRPr="007704BB">
        <w:t xml:space="preserve">were applied in the patch graft, the ulcer did not heal. The ulcer closed on the </w:t>
      </w:r>
      <w:r w:rsidR="000469E9">
        <w:t>10</w:t>
      </w:r>
      <w:r w:rsidR="000469E9" w:rsidRPr="000469E9">
        <w:rPr>
          <w:vertAlign w:val="superscript"/>
        </w:rPr>
        <w:t>th</w:t>
      </w:r>
      <w:r w:rsidR="000469E9">
        <w:t xml:space="preserve"> day</w:t>
      </w:r>
      <w:r w:rsidR="007704BB" w:rsidRPr="007704BB">
        <w:t xml:space="preserve"> with 1 U/mL insulin treatment 3 times </w:t>
      </w:r>
      <w:r w:rsidR="007704BB">
        <w:t>daily</w:t>
      </w:r>
      <w:r w:rsidR="007704BB" w:rsidRPr="007704BB">
        <w:t>.</w:t>
      </w:r>
      <w:r w:rsidR="000469E9">
        <w:t xml:space="preserve"> (Figures</w:t>
      </w:r>
      <w:r w:rsidR="000469E9" w:rsidRPr="007518B8">
        <w:t xml:space="preserve"> A</w:t>
      </w:r>
      <w:r w:rsidR="000469E9">
        <w:t>3</w:t>
      </w:r>
      <w:r w:rsidR="000469E9" w:rsidRPr="007518B8">
        <w:t xml:space="preserve"> and B</w:t>
      </w:r>
      <w:r w:rsidR="000469E9">
        <w:t>3)</w:t>
      </w:r>
    </w:p>
    <w:p w14:paraId="60A2B367" w14:textId="77777777" w:rsidR="00200067" w:rsidRDefault="005366C7" w:rsidP="00015D22">
      <w:pPr>
        <w:pStyle w:val="BodyText"/>
        <w:spacing w:before="90" w:line="280" w:lineRule="auto"/>
        <w:ind w:left="100"/>
        <w:jc w:val="both"/>
      </w:pPr>
      <w:r w:rsidRPr="00FE7160">
        <w:rPr>
          <w:b/>
          <w:bCs/>
        </w:rPr>
        <w:t>Results</w:t>
      </w:r>
      <w:r w:rsidRPr="0022450B">
        <w:rPr>
          <w:b/>
          <w:bCs/>
        </w:rPr>
        <w:t>:</w:t>
      </w:r>
      <w:r>
        <w:t xml:space="preserve"> </w:t>
      </w:r>
      <w:r w:rsidR="00200067" w:rsidRPr="00200067">
        <w:t>Three of our patients had refractory PCED of different etiologies that did not close with all conventional treatments.</w:t>
      </w:r>
      <w:r w:rsidRPr="00701569">
        <w:t xml:space="preserve"> </w:t>
      </w:r>
      <w:r w:rsidR="00200067" w:rsidRPr="00200067">
        <w:t>With topical insulin eye drop therapy, PCED occurred in approximately 1-3 weeks. (Figure B1, B2, and B3)</w:t>
      </w:r>
    </w:p>
    <w:p w14:paraId="6A64AE57" w14:textId="55315550" w:rsidR="00AE3E37" w:rsidRDefault="00A9710C" w:rsidP="00015D22">
      <w:pPr>
        <w:pStyle w:val="BodyText"/>
        <w:spacing w:before="90" w:line="280" w:lineRule="auto"/>
        <w:ind w:left="100"/>
        <w:jc w:val="both"/>
      </w:pPr>
      <w:r w:rsidRPr="0022450B">
        <w:rPr>
          <w:b/>
          <w:bCs/>
        </w:rPr>
        <w:t>Conclusion &amp; Significance</w:t>
      </w:r>
      <w:r>
        <w:t xml:space="preserve">: </w:t>
      </w:r>
      <w:r w:rsidR="00701569" w:rsidRPr="00701569">
        <w:t>Insulin formulated as 1 U/mL eye drops can be a safe and effective alternative for patients with persistent corneal defects. Nevertheless, further studies are needed to address the mechanisms beyond its effects and the possible long-term side effects of its usage.</w:t>
      </w:r>
    </w:p>
    <w:p w14:paraId="76D4DDB9" w14:textId="4C629E27" w:rsidR="00A57850" w:rsidRDefault="00A57850">
      <w:pPr>
        <w:pStyle w:val="Heading3"/>
        <w:spacing w:before="74"/>
        <w:rPr>
          <w:b w:val="0"/>
        </w:rPr>
      </w:pPr>
    </w:p>
    <w:p w14:paraId="580211FF" w14:textId="4F2321C6" w:rsidR="00A57850" w:rsidRDefault="00A57850">
      <w:pPr>
        <w:pStyle w:val="Heading3"/>
        <w:spacing w:before="74"/>
        <w:rPr>
          <w:b w:val="0"/>
        </w:rPr>
      </w:pPr>
    </w:p>
    <w:p w14:paraId="61BC5188" w14:textId="67608053" w:rsidR="00A57850" w:rsidRDefault="00A57850">
      <w:pPr>
        <w:pStyle w:val="Heading3"/>
        <w:spacing w:before="74"/>
        <w:rPr>
          <w:b w:val="0"/>
        </w:rPr>
      </w:pPr>
    </w:p>
    <w:p w14:paraId="1B5F0A5C" w14:textId="1731FFEF" w:rsidR="00A57850" w:rsidRDefault="00A57850">
      <w:pPr>
        <w:pStyle w:val="Heading3"/>
        <w:spacing w:before="74"/>
        <w:rPr>
          <w:b w:val="0"/>
        </w:rPr>
      </w:pPr>
    </w:p>
    <w:p w14:paraId="0198BF53" w14:textId="0321F2AE" w:rsidR="00A57850" w:rsidRDefault="00A57850">
      <w:pPr>
        <w:pStyle w:val="Heading3"/>
        <w:spacing w:before="74"/>
        <w:rPr>
          <w:b w:val="0"/>
        </w:rPr>
      </w:pPr>
    </w:p>
    <w:p w14:paraId="338129DB" w14:textId="438C09CA" w:rsidR="00AE3E37" w:rsidRDefault="00A9710C">
      <w:pPr>
        <w:pStyle w:val="Heading3"/>
        <w:spacing w:before="74"/>
      </w:pPr>
      <w:r>
        <w:rPr>
          <w:b w:val="0"/>
        </w:rPr>
        <w:br w:type="column"/>
      </w:r>
      <w:r>
        <w:rPr>
          <w:color w:val="BF5A14"/>
        </w:rPr>
        <w:lastRenderedPageBreak/>
        <w:t>Image</w:t>
      </w:r>
    </w:p>
    <w:p w14:paraId="6C169CC3" w14:textId="7379E922" w:rsidR="00015D22" w:rsidRDefault="00B2787A">
      <w:pPr>
        <w:pStyle w:val="BodyText"/>
        <w:spacing w:before="2"/>
        <w:rPr>
          <w:noProof/>
        </w:rPr>
      </w:pPr>
      <w:r>
        <w:rPr>
          <w:noProof/>
          <w:lang w:val="en-IN" w:eastAsia="en-IN"/>
        </w:rPr>
        <w:drawing>
          <wp:anchor distT="0" distB="0" distL="114300" distR="114300" simplePos="0" relativeHeight="251658752" behindDoc="0" locked="0" layoutInCell="1" allowOverlap="1" wp14:anchorId="7F24D6C1" wp14:editId="42F49D5A">
            <wp:simplePos x="0" y="0"/>
            <wp:positionH relativeFrom="column">
              <wp:posOffset>122555</wp:posOffset>
            </wp:positionH>
            <wp:positionV relativeFrom="paragraph">
              <wp:posOffset>127750</wp:posOffset>
            </wp:positionV>
            <wp:extent cx="3156585" cy="1305329"/>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56585" cy="130532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DBF359" w14:textId="772221DC" w:rsidR="00015D22" w:rsidRDefault="00015D22">
      <w:pPr>
        <w:pStyle w:val="BodyText"/>
        <w:spacing w:before="2"/>
        <w:rPr>
          <w:noProof/>
        </w:rPr>
      </w:pPr>
    </w:p>
    <w:p w14:paraId="19B00615" w14:textId="77777777" w:rsidR="00015D22" w:rsidRDefault="00015D22">
      <w:pPr>
        <w:pStyle w:val="BodyText"/>
        <w:spacing w:before="2"/>
        <w:rPr>
          <w:noProof/>
        </w:rPr>
      </w:pPr>
    </w:p>
    <w:p w14:paraId="64A57D3A" w14:textId="6F8BF12A" w:rsidR="00015D22" w:rsidRDefault="00015D22">
      <w:pPr>
        <w:pStyle w:val="BodyText"/>
        <w:spacing w:before="2"/>
        <w:rPr>
          <w:noProof/>
        </w:rPr>
      </w:pPr>
    </w:p>
    <w:p w14:paraId="1E68B8C5" w14:textId="77777777" w:rsidR="00015D22" w:rsidRDefault="00015D22">
      <w:pPr>
        <w:pStyle w:val="BodyText"/>
        <w:spacing w:before="2"/>
        <w:rPr>
          <w:noProof/>
        </w:rPr>
      </w:pPr>
    </w:p>
    <w:p w14:paraId="39A319DD" w14:textId="7EFFF2FF" w:rsidR="00015D22" w:rsidRDefault="00015D22">
      <w:pPr>
        <w:pStyle w:val="BodyText"/>
        <w:spacing w:before="2"/>
        <w:rPr>
          <w:noProof/>
        </w:rPr>
      </w:pPr>
    </w:p>
    <w:p w14:paraId="1BD3DBEF" w14:textId="77777777" w:rsidR="00015D22" w:rsidRDefault="00015D22">
      <w:pPr>
        <w:pStyle w:val="BodyText"/>
        <w:spacing w:before="2"/>
        <w:rPr>
          <w:noProof/>
        </w:rPr>
      </w:pPr>
    </w:p>
    <w:p w14:paraId="57C35238" w14:textId="5D88354B" w:rsidR="00015D22" w:rsidRDefault="00015D22">
      <w:pPr>
        <w:pStyle w:val="BodyText"/>
        <w:spacing w:before="2"/>
        <w:rPr>
          <w:noProof/>
        </w:rPr>
      </w:pPr>
    </w:p>
    <w:p w14:paraId="64E18DDA" w14:textId="77777777" w:rsidR="00015D22" w:rsidRDefault="00015D22">
      <w:pPr>
        <w:pStyle w:val="BodyText"/>
        <w:spacing w:before="2"/>
        <w:rPr>
          <w:noProof/>
        </w:rPr>
      </w:pPr>
    </w:p>
    <w:p w14:paraId="7D2F7FC3" w14:textId="444FF5D5" w:rsidR="00AE3E37" w:rsidRDefault="00AE3E37">
      <w:pPr>
        <w:pStyle w:val="BodyText"/>
        <w:spacing w:before="2"/>
        <w:rPr>
          <w:rFonts w:ascii="Arial"/>
          <w:b/>
          <w:sz w:val="16"/>
        </w:rPr>
      </w:pPr>
    </w:p>
    <w:p w14:paraId="2A5C9F45" w14:textId="77777777" w:rsidR="00015D22" w:rsidRDefault="005973B9" w:rsidP="005973B9">
      <w:pPr>
        <w:spacing w:line="204" w:lineRule="exact"/>
        <w:rPr>
          <w:rFonts w:ascii="Arial"/>
          <w:b/>
          <w:color w:val="BF5A14"/>
          <w:sz w:val="20"/>
        </w:rPr>
      </w:pPr>
      <w:r>
        <w:rPr>
          <w:rFonts w:ascii="Arial"/>
          <w:b/>
          <w:color w:val="BF5A14"/>
          <w:sz w:val="20"/>
        </w:rPr>
        <w:br/>
      </w:r>
    </w:p>
    <w:p w14:paraId="2437923D" w14:textId="77777777" w:rsidR="00015D22" w:rsidRDefault="00015D22" w:rsidP="005973B9">
      <w:pPr>
        <w:spacing w:line="204" w:lineRule="exact"/>
        <w:rPr>
          <w:rFonts w:ascii="Arial"/>
          <w:b/>
          <w:color w:val="BF5A14"/>
          <w:sz w:val="20"/>
        </w:rPr>
      </w:pPr>
    </w:p>
    <w:p w14:paraId="22454770" w14:textId="3E56D509" w:rsidR="005973B9" w:rsidRDefault="005973B9" w:rsidP="005973B9">
      <w:pPr>
        <w:spacing w:line="204" w:lineRule="exact"/>
        <w:rPr>
          <w:rFonts w:ascii="Arial"/>
          <w:b/>
          <w:sz w:val="20"/>
        </w:rPr>
      </w:pPr>
      <w:r>
        <w:rPr>
          <w:rFonts w:ascii="Arial"/>
          <w:b/>
          <w:color w:val="BF5A14"/>
          <w:sz w:val="20"/>
        </w:rPr>
        <w:t>Recent Publications (minimum 5)</w:t>
      </w:r>
    </w:p>
    <w:p w14:paraId="23044B69" w14:textId="5D63693F" w:rsidR="0022450B" w:rsidRDefault="0022450B" w:rsidP="005973B9">
      <w:pPr>
        <w:pStyle w:val="ListParagraph"/>
        <w:numPr>
          <w:ilvl w:val="0"/>
          <w:numId w:val="3"/>
        </w:numPr>
        <w:tabs>
          <w:tab w:val="left" w:pos="384"/>
        </w:tabs>
        <w:spacing w:line="216" w:lineRule="exact"/>
        <w:ind w:right="138" w:hanging="283"/>
        <w:rPr>
          <w:sz w:val="18"/>
        </w:rPr>
      </w:pPr>
      <w:proofErr w:type="spellStart"/>
      <w:r w:rsidRPr="0022450B">
        <w:rPr>
          <w:b/>
          <w:bCs/>
          <w:sz w:val="18"/>
        </w:rPr>
        <w:t>Kunbaz</w:t>
      </w:r>
      <w:proofErr w:type="spellEnd"/>
      <w:r w:rsidRPr="0022450B">
        <w:rPr>
          <w:b/>
          <w:bCs/>
          <w:sz w:val="18"/>
        </w:rPr>
        <w:t xml:space="preserve"> A</w:t>
      </w:r>
      <w:r w:rsidRPr="0022450B">
        <w:rPr>
          <w:sz w:val="18"/>
        </w:rPr>
        <w:t xml:space="preserve">, </w:t>
      </w:r>
      <w:proofErr w:type="spellStart"/>
      <w:r w:rsidRPr="0022450B">
        <w:rPr>
          <w:sz w:val="18"/>
        </w:rPr>
        <w:t>Esen</w:t>
      </w:r>
      <w:proofErr w:type="spellEnd"/>
      <w:r w:rsidRPr="0022450B">
        <w:rPr>
          <w:sz w:val="18"/>
        </w:rPr>
        <w:t xml:space="preserve"> F, </w:t>
      </w:r>
      <w:proofErr w:type="spellStart"/>
      <w:r w:rsidRPr="0022450B">
        <w:rPr>
          <w:sz w:val="18"/>
        </w:rPr>
        <w:t>Turkyilmaz</w:t>
      </w:r>
      <w:proofErr w:type="spellEnd"/>
      <w:r w:rsidRPr="0022450B">
        <w:rPr>
          <w:sz w:val="18"/>
        </w:rPr>
        <w:t xml:space="preserve"> O, </w:t>
      </w:r>
      <w:proofErr w:type="spellStart"/>
      <w:r w:rsidRPr="0022450B">
        <w:rPr>
          <w:sz w:val="18"/>
        </w:rPr>
        <w:t>Aykut</w:t>
      </w:r>
      <w:proofErr w:type="spellEnd"/>
      <w:r w:rsidRPr="0022450B">
        <w:rPr>
          <w:sz w:val="18"/>
        </w:rPr>
        <w:t xml:space="preserve"> V, </w:t>
      </w:r>
      <w:proofErr w:type="spellStart"/>
      <w:r w:rsidRPr="0022450B">
        <w:rPr>
          <w:sz w:val="18"/>
        </w:rPr>
        <w:t>Durmus</w:t>
      </w:r>
      <w:proofErr w:type="spellEnd"/>
      <w:r w:rsidRPr="0022450B">
        <w:rPr>
          <w:sz w:val="18"/>
        </w:rPr>
        <w:t xml:space="preserve"> E, </w:t>
      </w:r>
      <w:proofErr w:type="spellStart"/>
      <w:r w:rsidRPr="0022450B">
        <w:rPr>
          <w:sz w:val="18"/>
        </w:rPr>
        <w:t>Oguz</w:t>
      </w:r>
      <w:proofErr w:type="spellEnd"/>
      <w:r w:rsidRPr="0022450B">
        <w:rPr>
          <w:sz w:val="18"/>
        </w:rPr>
        <w:t xml:space="preserve"> H. Acute iris </w:t>
      </w:r>
      <w:proofErr w:type="spellStart"/>
      <w:r w:rsidRPr="0022450B">
        <w:rPr>
          <w:sz w:val="18"/>
        </w:rPr>
        <w:t>transillumination</w:t>
      </w:r>
      <w:proofErr w:type="spellEnd"/>
      <w:r w:rsidRPr="0022450B">
        <w:rPr>
          <w:sz w:val="18"/>
        </w:rPr>
        <w:t xml:space="preserve"> following </w:t>
      </w:r>
      <w:proofErr w:type="spellStart"/>
      <w:r w:rsidRPr="0022450B">
        <w:rPr>
          <w:sz w:val="18"/>
        </w:rPr>
        <w:t>intracameral</w:t>
      </w:r>
      <w:proofErr w:type="spellEnd"/>
      <w:r w:rsidRPr="0022450B">
        <w:rPr>
          <w:sz w:val="18"/>
        </w:rPr>
        <w:t xml:space="preserve"> </w:t>
      </w:r>
      <w:proofErr w:type="spellStart"/>
      <w:r w:rsidRPr="0022450B">
        <w:rPr>
          <w:sz w:val="18"/>
        </w:rPr>
        <w:t>moxifloxacin</w:t>
      </w:r>
      <w:proofErr w:type="spellEnd"/>
      <w:r w:rsidRPr="0022450B">
        <w:rPr>
          <w:sz w:val="18"/>
        </w:rPr>
        <w:t xml:space="preserve"> injection. The Turkish Ophthalmology society`s 56th Annual Scientific Conference 2-6 November 2022. </w:t>
      </w:r>
    </w:p>
    <w:p w14:paraId="0F320172" w14:textId="03219CBC" w:rsidR="0022450B" w:rsidRDefault="0022450B" w:rsidP="005973B9">
      <w:pPr>
        <w:pStyle w:val="ListParagraph"/>
        <w:numPr>
          <w:ilvl w:val="0"/>
          <w:numId w:val="3"/>
        </w:numPr>
        <w:tabs>
          <w:tab w:val="left" w:pos="384"/>
        </w:tabs>
        <w:spacing w:line="216" w:lineRule="exact"/>
        <w:ind w:right="138" w:hanging="283"/>
        <w:rPr>
          <w:sz w:val="18"/>
        </w:rPr>
      </w:pPr>
      <w:proofErr w:type="spellStart"/>
      <w:r w:rsidRPr="0022450B">
        <w:rPr>
          <w:b/>
          <w:bCs/>
          <w:sz w:val="18"/>
        </w:rPr>
        <w:t>Kunbaz</w:t>
      </w:r>
      <w:proofErr w:type="spellEnd"/>
      <w:r w:rsidRPr="0022450B">
        <w:rPr>
          <w:b/>
          <w:bCs/>
          <w:sz w:val="18"/>
        </w:rPr>
        <w:t xml:space="preserve"> A</w:t>
      </w:r>
      <w:r w:rsidRPr="0022450B">
        <w:rPr>
          <w:sz w:val="18"/>
        </w:rPr>
        <w:t xml:space="preserve">, </w:t>
      </w:r>
      <w:proofErr w:type="spellStart"/>
      <w:r w:rsidRPr="0022450B">
        <w:rPr>
          <w:sz w:val="18"/>
        </w:rPr>
        <w:t>Durmus</w:t>
      </w:r>
      <w:proofErr w:type="spellEnd"/>
      <w:r w:rsidRPr="0022450B">
        <w:rPr>
          <w:sz w:val="18"/>
        </w:rPr>
        <w:t xml:space="preserve"> E, </w:t>
      </w:r>
      <w:proofErr w:type="spellStart"/>
      <w:r w:rsidRPr="0022450B">
        <w:rPr>
          <w:sz w:val="18"/>
        </w:rPr>
        <w:t>Aykut</w:t>
      </w:r>
      <w:proofErr w:type="spellEnd"/>
      <w:r w:rsidRPr="0022450B">
        <w:rPr>
          <w:sz w:val="18"/>
        </w:rPr>
        <w:t xml:space="preserve"> V, </w:t>
      </w:r>
      <w:proofErr w:type="spellStart"/>
      <w:r w:rsidRPr="0022450B">
        <w:rPr>
          <w:sz w:val="18"/>
        </w:rPr>
        <w:t>Esen</w:t>
      </w:r>
      <w:proofErr w:type="spellEnd"/>
      <w:r w:rsidRPr="0022450B">
        <w:rPr>
          <w:sz w:val="18"/>
        </w:rPr>
        <w:t xml:space="preserve"> F, </w:t>
      </w:r>
      <w:proofErr w:type="spellStart"/>
      <w:r w:rsidRPr="0022450B">
        <w:rPr>
          <w:sz w:val="18"/>
        </w:rPr>
        <w:t>Derin</w:t>
      </w:r>
      <w:proofErr w:type="spellEnd"/>
      <w:r w:rsidRPr="0022450B">
        <w:rPr>
          <w:sz w:val="18"/>
        </w:rPr>
        <w:t xml:space="preserve"> G, </w:t>
      </w:r>
      <w:proofErr w:type="spellStart"/>
      <w:r w:rsidRPr="0022450B">
        <w:rPr>
          <w:sz w:val="18"/>
        </w:rPr>
        <w:t>Oguz</w:t>
      </w:r>
      <w:proofErr w:type="spellEnd"/>
      <w:r w:rsidRPr="0022450B">
        <w:rPr>
          <w:sz w:val="18"/>
        </w:rPr>
        <w:t xml:space="preserve"> H. Corneal Topographic Changes Following Sutured and </w:t>
      </w:r>
      <w:proofErr w:type="spellStart"/>
      <w:r w:rsidRPr="0022450B">
        <w:rPr>
          <w:sz w:val="18"/>
        </w:rPr>
        <w:t>Sutureless</w:t>
      </w:r>
      <w:proofErr w:type="spellEnd"/>
      <w:r w:rsidRPr="0022450B">
        <w:rPr>
          <w:sz w:val="18"/>
        </w:rPr>
        <w:t xml:space="preserve"> 25 G </w:t>
      </w:r>
      <w:proofErr w:type="gramStart"/>
      <w:r w:rsidRPr="0022450B">
        <w:rPr>
          <w:sz w:val="18"/>
        </w:rPr>
        <w:t>vitrectomy</w:t>
      </w:r>
      <w:proofErr w:type="gramEnd"/>
      <w:r w:rsidRPr="0022450B">
        <w:rPr>
          <w:sz w:val="18"/>
        </w:rPr>
        <w:t xml:space="preserve">: A comparison study. The Turkish Ophthalmology society`s 56th Annual Scientific Conference 2-6 November 2022. </w:t>
      </w:r>
    </w:p>
    <w:p w14:paraId="7F54DF33" w14:textId="37CB27A7" w:rsidR="0022450B" w:rsidRDefault="0022450B" w:rsidP="0022450B">
      <w:pPr>
        <w:pStyle w:val="ListParagraph"/>
        <w:numPr>
          <w:ilvl w:val="0"/>
          <w:numId w:val="3"/>
        </w:numPr>
        <w:tabs>
          <w:tab w:val="left" w:pos="384"/>
        </w:tabs>
        <w:spacing w:line="216" w:lineRule="exact"/>
        <w:ind w:right="138" w:hanging="283"/>
        <w:rPr>
          <w:sz w:val="18"/>
        </w:rPr>
      </w:pPr>
      <w:proofErr w:type="spellStart"/>
      <w:r w:rsidRPr="0022450B">
        <w:rPr>
          <w:b/>
          <w:bCs/>
          <w:sz w:val="18"/>
        </w:rPr>
        <w:t>Kunbaz</w:t>
      </w:r>
      <w:proofErr w:type="spellEnd"/>
      <w:r w:rsidRPr="0022450B">
        <w:rPr>
          <w:b/>
          <w:bCs/>
          <w:sz w:val="18"/>
        </w:rPr>
        <w:t xml:space="preserve"> A</w:t>
      </w:r>
      <w:r w:rsidRPr="0022450B">
        <w:rPr>
          <w:sz w:val="18"/>
        </w:rPr>
        <w:t xml:space="preserve">, </w:t>
      </w:r>
      <w:proofErr w:type="spellStart"/>
      <w:r w:rsidRPr="0022450B">
        <w:rPr>
          <w:sz w:val="18"/>
        </w:rPr>
        <w:t>Yilmaz</w:t>
      </w:r>
      <w:proofErr w:type="spellEnd"/>
      <w:r w:rsidRPr="0022450B">
        <w:rPr>
          <w:sz w:val="18"/>
        </w:rPr>
        <w:t xml:space="preserve"> OF, </w:t>
      </w:r>
      <w:proofErr w:type="spellStart"/>
      <w:r w:rsidRPr="0022450B">
        <w:rPr>
          <w:sz w:val="18"/>
        </w:rPr>
        <w:t>Oguz</w:t>
      </w:r>
      <w:proofErr w:type="spellEnd"/>
      <w:r w:rsidRPr="0022450B">
        <w:rPr>
          <w:sz w:val="18"/>
        </w:rPr>
        <w:t xml:space="preserve"> H. Platelet-Rich Fibrin Membrane </w:t>
      </w:r>
      <w:proofErr w:type="spellStart"/>
      <w:r w:rsidRPr="0022450B">
        <w:rPr>
          <w:sz w:val="18"/>
        </w:rPr>
        <w:t>Pterygium</w:t>
      </w:r>
      <w:proofErr w:type="spellEnd"/>
      <w:r w:rsidRPr="0022450B">
        <w:rPr>
          <w:sz w:val="18"/>
        </w:rPr>
        <w:t xml:space="preserve"> Surgery. The 36th European Ophthalmology congress, London, England. Gen Med 2022, Volume 10. </w:t>
      </w:r>
    </w:p>
    <w:p w14:paraId="33B9F1F4" w14:textId="4315426E" w:rsidR="0022450B" w:rsidRDefault="0022450B" w:rsidP="005973B9">
      <w:pPr>
        <w:pStyle w:val="ListParagraph"/>
        <w:numPr>
          <w:ilvl w:val="0"/>
          <w:numId w:val="3"/>
        </w:numPr>
        <w:tabs>
          <w:tab w:val="left" w:pos="384"/>
        </w:tabs>
        <w:spacing w:before="92" w:line="218" w:lineRule="exact"/>
        <w:ind w:hanging="283"/>
        <w:rPr>
          <w:sz w:val="18"/>
        </w:rPr>
      </w:pPr>
      <w:proofErr w:type="spellStart"/>
      <w:r w:rsidRPr="0022450B">
        <w:rPr>
          <w:sz w:val="18"/>
        </w:rPr>
        <w:t>Beuschel</w:t>
      </w:r>
      <w:proofErr w:type="spellEnd"/>
      <w:r w:rsidRPr="0022450B">
        <w:rPr>
          <w:sz w:val="18"/>
        </w:rPr>
        <w:t xml:space="preserve"> B, </w:t>
      </w:r>
      <w:proofErr w:type="spellStart"/>
      <w:r w:rsidRPr="0022450B">
        <w:rPr>
          <w:sz w:val="18"/>
        </w:rPr>
        <w:t>Nayfeh</w:t>
      </w:r>
      <w:proofErr w:type="spellEnd"/>
      <w:r w:rsidRPr="0022450B">
        <w:rPr>
          <w:sz w:val="18"/>
        </w:rPr>
        <w:t xml:space="preserve"> T, </w:t>
      </w:r>
      <w:proofErr w:type="spellStart"/>
      <w:r w:rsidRPr="0022450B">
        <w:rPr>
          <w:b/>
          <w:bCs/>
          <w:sz w:val="18"/>
        </w:rPr>
        <w:t>Kunbaz</w:t>
      </w:r>
      <w:proofErr w:type="spellEnd"/>
      <w:r w:rsidRPr="0022450B">
        <w:rPr>
          <w:b/>
          <w:bCs/>
          <w:sz w:val="18"/>
        </w:rPr>
        <w:t xml:space="preserve"> A</w:t>
      </w:r>
      <w:r w:rsidRPr="0022450B">
        <w:rPr>
          <w:sz w:val="18"/>
        </w:rPr>
        <w:t xml:space="preserve">, et.al. A systematic review and meta-analysis of treatment and natural history of popliteal artery aneurysms. Journal of Vascular Surgery. 2021 </w:t>
      </w:r>
    </w:p>
    <w:p w14:paraId="3DCE8AEB" w14:textId="526F24CC" w:rsidR="005973B9" w:rsidRDefault="0022450B" w:rsidP="0022450B">
      <w:pPr>
        <w:pStyle w:val="ListParagraph"/>
        <w:numPr>
          <w:ilvl w:val="0"/>
          <w:numId w:val="3"/>
        </w:numPr>
        <w:tabs>
          <w:tab w:val="left" w:pos="384"/>
        </w:tabs>
        <w:spacing w:before="92" w:line="218" w:lineRule="exact"/>
        <w:ind w:hanging="283"/>
        <w:rPr>
          <w:sz w:val="18"/>
        </w:rPr>
      </w:pPr>
      <w:proofErr w:type="spellStart"/>
      <w:r w:rsidRPr="0022450B">
        <w:rPr>
          <w:sz w:val="18"/>
        </w:rPr>
        <w:t>Soufi</w:t>
      </w:r>
      <w:proofErr w:type="spellEnd"/>
      <w:r w:rsidRPr="0022450B">
        <w:rPr>
          <w:sz w:val="18"/>
        </w:rPr>
        <w:t xml:space="preserve"> MK, </w:t>
      </w:r>
      <w:proofErr w:type="spellStart"/>
      <w:r w:rsidRPr="0022450B">
        <w:rPr>
          <w:b/>
          <w:bCs/>
          <w:sz w:val="18"/>
        </w:rPr>
        <w:t>Kunbaz</w:t>
      </w:r>
      <w:proofErr w:type="spellEnd"/>
      <w:r w:rsidRPr="0022450B">
        <w:rPr>
          <w:b/>
          <w:bCs/>
          <w:sz w:val="18"/>
        </w:rPr>
        <w:t xml:space="preserve"> A</w:t>
      </w:r>
      <w:r w:rsidRPr="0022450B">
        <w:rPr>
          <w:sz w:val="18"/>
        </w:rPr>
        <w:t xml:space="preserve">, et al. Solving </w:t>
      </w:r>
      <w:proofErr w:type="gramStart"/>
      <w:r w:rsidRPr="0022450B">
        <w:rPr>
          <w:sz w:val="18"/>
        </w:rPr>
        <w:t>A</w:t>
      </w:r>
      <w:proofErr w:type="gramEnd"/>
      <w:r w:rsidRPr="0022450B">
        <w:rPr>
          <w:sz w:val="18"/>
        </w:rPr>
        <w:t xml:space="preserve"> Riddle: Cardiac </w:t>
      </w:r>
      <w:proofErr w:type="spellStart"/>
      <w:r w:rsidRPr="0022450B">
        <w:rPr>
          <w:sz w:val="18"/>
        </w:rPr>
        <w:t>Sarcoidosis</w:t>
      </w:r>
      <w:proofErr w:type="spellEnd"/>
      <w:r w:rsidRPr="0022450B">
        <w:rPr>
          <w:sz w:val="18"/>
        </w:rPr>
        <w:t xml:space="preserve"> And Response to Prednisone. The American College of Cardiology's 71st Annual Scientific Conference 2-4 April 2022. Volume 79, Issue 9, </w:t>
      </w:r>
      <w:proofErr w:type="spellStart"/>
      <w:r w:rsidRPr="0022450B">
        <w:rPr>
          <w:sz w:val="18"/>
        </w:rPr>
        <w:t>suppl</w:t>
      </w:r>
      <w:proofErr w:type="spellEnd"/>
      <w:r w:rsidRPr="0022450B">
        <w:rPr>
          <w:sz w:val="18"/>
        </w:rPr>
        <w:t xml:space="preserve"> </w:t>
      </w:r>
      <w:proofErr w:type="gramStart"/>
      <w:r w:rsidRPr="0022450B">
        <w:rPr>
          <w:sz w:val="18"/>
        </w:rPr>
        <w:t>A</w:t>
      </w:r>
      <w:proofErr w:type="gramEnd"/>
      <w:r w:rsidRPr="0022450B">
        <w:rPr>
          <w:sz w:val="18"/>
        </w:rPr>
        <w:t xml:space="preserve"> - 10461 Conference poster365: 519-530.</w:t>
      </w:r>
    </w:p>
    <w:p w14:paraId="0CE37623" w14:textId="67A0A2BD" w:rsidR="0022450B" w:rsidRDefault="0022450B" w:rsidP="0022450B">
      <w:pPr>
        <w:tabs>
          <w:tab w:val="left" w:pos="384"/>
        </w:tabs>
        <w:spacing w:before="92" w:line="218" w:lineRule="exact"/>
        <w:rPr>
          <w:sz w:val="18"/>
        </w:rPr>
      </w:pPr>
    </w:p>
    <w:p w14:paraId="18E680CC" w14:textId="452C987E" w:rsidR="0022450B" w:rsidRDefault="0022450B" w:rsidP="0022450B">
      <w:pPr>
        <w:tabs>
          <w:tab w:val="left" w:pos="384"/>
        </w:tabs>
        <w:spacing w:before="92" w:line="218" w:lineRule="exact"/>
        <w:rPr>
          <w:sz w:val="18"/>
        </w:rPr>
      </w:pPr>
    </w:p>
    <w:p w14:paraId="2411A970" w14:textId="41285900" w:rsidR="0022450B" w:rsidRDefault="0022450B" w:rsidP="0022450B">
      <w:pPr>
        <w:tabs>
          <w:tab w:val="left" w:pos="384"/>
        </w:tabs>
        <w:spacing w:before="92" w:line="218" w:lineRule="exact"/>
        <w:rPr>
          <w:sz w:val="18"/>
        </w:rPr>
      </w:pPr>
    </w:p>
    <w:p w14:paraId="18A17ED5" w14:textId="1677C5CD"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068B7784" w14:textId="5AE2EA2C" w:rsidR="00AE3E37" w:rsidRDefault="0022450B">
      <w:pPr>
        <w:pStyle w:val="BodyText"/>
        <w:rPr>
          <w:rFonts w:ascii="Calibri"/>
          <w:sz w:val="20"/>
        </w:rPr>
      </w:pPr>
      <w:r w:rsidRPr="00A57850">
        <w:rPr>
          <w:noProof/>
          <w:lang w:val="en-IN" w:eastAsia="en-IN"/>
        </w:rPr>
        <w:lastRenderedPageBreak/>
        <w:drawing>
          <wp:anchor distT="0" distB="0" distL="114300" distR="114300" simplePos="0" relativeHeight="251656192" behindDoc="0" locked="0" layoutInCell="1" allowOverlap="1" wp14:anchorId="5C55C3FF" wp14:editId="13E02020">
            <wp:simplePos x="0" y="0"/>
            <wp:positionH relativeFrom="column">
              <wp:posOffset>5266690</wp:posOffset>
            </wp:positionH>
            <wp:positionV relativeFrom="paragraph">
              <wp:posOffset>-756285</wp:posOffset>
            </wp:positionV>
            <wp:extent cx="675867" cy="678180"/>
            <wp:effectExtent l="0" t="0" r="0" b="7620"/>
            <wp:wrapNone/>
            <wp:docPr id="6" name="Picture 8" descr="A picture containing sunburst chart&#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9A2BFD9-7E72-ED24-50D3-FA61C6F041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picture containing sunburst chart&#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9A2BFD9-7E72-ED24-50D3-FA61C6F041F4}"/>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675867" cy="678180"/>
                    </a:xfrm>
                    <a:prstGeom prst="rect">
                      <a:avLst/>
                    </a:prstGeom>
                  </pic:spPr>
                </pic:pic>
              </a:graphicData>
            </a:graphic>
            <wp14:sizeRelH relativeFrom="page">
              <wp14:pctWidth>0</wp14:pctWidth>
            </wp14:sizeRelH>
            <wp14:sizeRelV relativeFrom="page">
              <wp14:pctHeight>0</wp14:pctHeight>
            </wp14:sizeRelV>
          </wp:anchor>
        </w:drawing>
      </w:r>
      <w:r>
        <w:rPr>
          <w:noProof/>
          <w:lang w:val="en-IN" w:eastAsia="en-IN"/>
        </w:rPr>
        <w:drawing>
          <wp:anchor distT="0" distB="0" distL="114300" distR="114300" simplePos="0" relativeHeight="251661312" behindDoc="0" locked="0" layoutInCell="1" allowOverlap="1" wp14:anchorId="3BE0874F" wp14:editId="1F515298">
            <wp:simplePos x="0" y="0"/>
            <wp:positionH relativeFrom="column">
              <wp:posOffset>-181610</wp:posOffset>
            </wp:positionH>
            <wp:positionV relativeFrom="paragraph">
              <wp:posOffset>-568325</wp:posOffset>
            </wp:positionV>
            <wp:extent cx="714375" cy="71437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1437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74B708" w14:textId="6F0738EC" w:rsidR="00AE3E37" w:rsidRDefault="00F954B0">
      <w:pPr>
        <w:pStyle w:val="BodyText"/>
        <w:spacing w:line="40" w:lineRule="exact"/>
        <w:ind w:left="2202"/>
        <w:rPr>
          <w:rFonts w:ascii="Calibri"/>
          <w:sz w:val="4"/>
        </w:rPr>
      </w:pPr>
      <w:r>
        <w:pict w14:anchorId="27D9F135">
          <v:group id="Group 4" o:spid="_x0000_s1027" style="width:313.05pt;height:2pt;mso-position-horizontal-relative:char;mso-position-vertical-relative:line" coordsize="6261,40">
            <v:line id="Line 5" o:spid="_x0000_s1028"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none"/>
            <w10:anchorlock/>
          </v:group>
        </w:pict>
      </w:r>
    </w:p>
    <w:p w14:paraId="2B9E6A9A" w14:textId="4FC8D720" w:rsidR="00AE3E37" w:rsidRDefault="008756E6" w:rsidP="00A57850">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51A9560E" w14:textId="7CA2467F" w:rsidR="00A57850" w:rsidRDefault="001C2645" w:rsidP="00A57850">
      <w:pPr>
        <w:jc w:val="both"/>
      </w:pPr>
      <w:proofErr w:type="spellStart"/>
      <w:r>
        <w:t>Dr</w:t>
      </w:r>
      <w:proofErr w:type="spellEnd"/>
      <w:r w:rsidR="00A57850">
        <w:t xml:space="preserve"> Ahmad </w:t>
      </w:r>
      <w:proofErr w:type="spellStart"/>
      <w:r w:rsidR="00A57850">
        <w:t>Kunbaz</w:t>
      </w:r>
      <w:proofErr w:type="spellEnd"/>
      <w:r w:rsidR="00A57850">
        <w:t xml:space="preserve"> has completed his M.D. degree at </w:t>
      </w:r>
      <w:proofErr w:type="spellStart"/>
      <w:r w:rsidR="00A57850">
        <w:t>Cerrahpasa</w:t>
      </w:r>
      <w:proofErr w:type="spellEnd"/>
      <w:r w:rsidR="00A57850">
        <w:t xml:space="preserve"> faculty of medicine, Istanbul </w:t>
      </w:r>
      <w:proofErr w:type="gramStart"/>
      <w:r w:rsidR="00A57850">
        <w:t>university</w:t>
      </w:r>
      <w:proofErr w:type="gramEnd"/>
      <w:r w:rsidR="00A57850">
        <w:t xml:space="preserve">. </w:t>
      </w:r>
    </w:p>
    <w:p w14:paraId="73E2E6EE" w14:textId="7258634A" w:rsidR="00A57850" w:rsidRDefault="00A57850" w:rsidP="00A57850">
      <w:pPr>
        <w:jc w:val="both"/>
      </w:pPr>
      <w:r>
        <w:t xml:space="preserve">He has published more than 20 scientific papers with more than 220 citations and is currently enrolled in </w:t>
      </w:r>
    </w:p>
    <w:p w14:paraId="2105538E" w14:textId="5481F242" w:rsidR="00A57850" w:rsidRDefault="00A57850" w:rsidP="00A57850">
      <w:pPr>
        <w:jc w:val="both"/>
      </w:pPr>
      <w:proofErr w:type="gramStart"/>
      <w:r>
        <w:t>the</w:t>
      </w:r>
      <w:proofErr w:type="gramEnd"/>
      <w:r>
        <w:t xml:space="preserve"> faculty of medicine, </w:t>
      </w:r>
      <w:r w:rsidR="001C2645">
        <w:t xml:space="preserve">at </w:t>
      </w:r>
      <w:r>
        <w:t xml:space="preserve">Istanbul </w:t>
      </w:r>
      <w:proofErr w:type="spellStart"/>
      <w:r>
        <w:t>Medeniyet</w:t>
      </w:r>
      <w:proofErr w:type="spellEnd"/>
      <w:r>
        <w:t xml:space="preserve"> University, department of ophthalmology</w:t>
      </w:r>
      <w:r w:rsidR="001C2645">
        <w:t>,</w:t>
      </w:r>
      <w:r>
        <w:t xml:space="preserve"> as an ophthalmology resident. </w:t>
      </w:r>
    </w:p>
    <w:p w14:paraId="11073D60" w14:textId="7FAC0C77" w:rsidR="00AE3E37" w:rsidRDefault="00A9710C">
      <w:pPr>
        <w:spacing w:before="62"/>
        <w:ind w:left="4217" w:right="4235"/>
        <w:jc w:val="center"/>
        <w:rPr>
          <w:rFonts w:ascii="Arial"/>
          <w:sz w:val="14"/>
        </w:rPr>
      </w:pPr>
      <w:r>
        <w:rPr>
          <w:rFonts w:ascii="Arial"/>
          <w:sz w:val="14"/>
        </w:rPr>
        <w:t xml:space="preserve">Email: </w:t>
      </w:r>
      <w:hyperlink r:id="rId12" w:history="1">
        <w:r w:rsidR="0022450B" w:rsidRPr="000B3AA0">
          <w:rPr>
            <w:rStyle w:val="Hyperlink"/>
            <w:rFonts w:ascii="Arial"/>
            <w:sz w:val="14"/>
          </w:rPr>
          <w:t>Ahmad.Kunba    z@gmail.com</w:t>
        </w:r>
      </w:hyperlink>
    </w:p>
    <w:p w14:paraId="5DCA3B74" w14:textId="7F0B17FB" w:rsidR="00AE3E37" w:rsidRDefault="00F954B0">
      <w:pPr>
        <w:pStyle w:val="BodyText"/>
        <w:spacing w:before="2"/>
        <w:rPr>
          <w:rFonts w:ascii="Arial"/>
          <w:sz w:val="19"/>
        </w:rPr>
      </w:pPr>
      <w:r>
        <w:rPr>
          <w:noProof/>
        </w:rPr>
        <w:pict w14:anchorId="773D203F">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w:r>
    </w:p>
    <w:p w14:paraId="3257B818" w14:textId="77777777" w:rsidR="00AE3E37" w:rsidRDefault="00AE3E37">
      <w:pPr>
        <w:pStyle w:val="BodyText"/>
        <w:rPr>
          <w:rFonts w:ascii="Arial"/>
          <w:sz w:val="20"/>
        </w:rPr>
      </w:pPr>
    </w:p>
    <w:p w14:paraId="6A3E3A39" w14:textId="77777777" w:rsidR="00AE3E37" w:rsidRDefault="00AE3E37">
      <w:pPr>
        <w:pStyle w:val="BodyText"/>
        <w:rPr>
          <w:rFonts w:ascii="Arial"/>
          <w:sz w:val="20"/>
        </w:rPr>
      </w:pPr>
    </w:p>
    <w:p w14:paraId="41837DFD" w14:textId="77777777" w:rsidR="00AE3E37" w:rsidRPr="00B21A57" w:rsidRDefault="00A9710C">
      <w:pPr>
        <w:spacing w:before="39"/>
        <w:ind w:left="100"/>
        <w:rPr>
          <w:rFonts w:ascii="Minion Pro"/>
          <w:b/>
          <w:sz w:val="20"/>
        </w:rPr>
      </w:pPr>
      <w:r w:rsidRPr="00B21A57">
        <w:rPr>
          <w:rFonts w:ascii="Minion Pro"/>
          <w:b/>
          <w:sz w:val="20"/>
        </w:rPr>
        <w:t>Notes/Comments:</w:t>
      </w:r>
    </w:p>
    <w:p w14:paraId="499A2FE0" w14:textId="77777777" w:rsidR="00F046EA" w:rsidRPr="0013708E" w:rsidRDefault="00F046EA" w:rsidP="00F046EA">
      <w:pPr>
        <w:jc w:val="both"/>
        <w:rPr>
          <w:b/>
        </w:rPr>
      </w:pPr>
      <w:r w:rsidRPr="0013708E">
        <w:rPr>
          <w:b/>
        </w:rPr>
        <w:t xml:space="preserve">Presenting author details </w:t>
      </w:r>
    </w:p>
    <w:p w14:paraId="3B2B6FD4" w14:textId="53BF3853" w:rsidR="00F046EA" w:rsidRPr="0013708E" w:rsidRDefault="00F046EA" w:rsidP="00F046EA">
      <w:pPr>
        <w:jc w:val="both"/>
      </w:pPr>
      <w:r w:rsidRPr="0013708E">
        <w:t xml:space="preserve">Full name: </w:t>
      </w:r>
      <w:r w:rsidR="00FE64AA">
        <w:t xml:space="preserve">Ahmad </w:t>
      </w:r>
      <w:proofErr w:type="spellStart"/>
      <w:r w:rsidR="00FE64AA">
        <w:t>Kunbaz</w:t>
      </w:r>
      <w:proofErr w:type="spellEnd"/>
    </w:p>
    <w:p w14:paraId="0C6DEE7D" w14:textId="379AB0A7" w:rsidR="00F046EA" w:rsidRDefault="00F046EA" w:rsidP="00F046EA">
      <w:pPr>
        <w:jc w:val="both"/>
      </w:pPr>
      <w:r w:rsidRPr="0013708E">
        <w:t>Contact number:</w:t>
      </w:r>
      <w:r w:rsidR="00FE64AA">
        <w:t xml:space="preserve"> +905070509784</w:t>
      </w:r>
    </w:p>
    <w:p w14:paraId="7062D60C" w14:textId="203F668E" w:rsidR="00F046EA" w:rsidRPr="0013708E" w:rsidRDefault="00F046EA" w:rsidP="00F046EA">
      <w:pPr>
        <w:jc w:val="both"/>
      </w:pPr>
      <w:r>
        <w:t xml:space="preserve">Mail id: </w:t>
      </w:r>
      <w:r w:rsidR="00FE64AA">
        <w:t xml:space="preserve"> Ahmad.Kunbaz@gmail.com</w:t>
      </w:r>
    </w:p>
    <w:p w14:paraId="1ABA83BF" w14:textId="3B4E10A1" w:rsidR="00F046EA" w:rsidRDefault="00F046EA" w:rsidP="00F046EA">
      <w:pPr>
        <w:jc w:val="both"/>
      </w:pPr>
      <w:r w:rsidRPr="0013708E">
        <w:t>Category: (</w:t>
      </w:r>
      <w:r w:rsidRPr="00FE64AA">
        <w:rPr>
          <w:b/>
          <w:bCs/>
        </w:rPr>
        <w:t>Oral presentation</w:t>
      </w:r>
      <w:r w:rsidRPr="0013708E">
        <w:t>)</w:t>
      </w:r>
      <w:r>
        <w:t xml:space="preserve"> </w:t>
      </w:r>
    </w:p>
    <w:sectPr w:rsidR="00F046EA"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7FF2F2" w14:textId="77777777" w:rsidR="00F954B0" w:rsidRDefault="00F954B0">
      <w:r>
        <w:separator/>
      </w:r>
    </w:p>
  </w:endnote>
  <w:endnote w:type="continuationSeparator" w:id="0">
    <w:p w14:paraId="026682BA" w14:textId="77777777" w:rsidR="00F954B0" w:rsidRDefault="00F95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183A1D" w14:textId="4871D898" w:rsidR="00AE3E37" w:rsidRDefault="00F954B0">
    <w:pPr>
      <w:pStyle w:val="BodyText"/>
      <w:spacing w:line="14" w:lineRule="auto"/>
      <w:rPr>
        <w:sz w:val="20"/>
      </w:rPr>
    </w:pPr>
    <w:r>
      <w:rPr>
        <w:noProof/>
      </w:rPr>
      <w:pict w14:anchorId="6ED3A51A">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0DC8B9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7E5255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w14:anchorId="54A6138F">
        <v:shape id="Text Box 2" o:spid="_x0000_s205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AEA246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8306F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w14:anchorId="73E2F3AB">
        <v:shape id="Text Box 1" o:spid="_x0000_s204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533FDA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696B46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0A2ADB" w14:textId="77777777" w:rsidR="00F954B0" w:rsidRDefault="00F954B0">
      <w:r>
        <w:separator/>
      </w:r>
    </w:p>
  </w:footnote>
  <w:footnote w:type="continuationSeparator" w:id="0">
    <w:p w14:paraId="27FEEE2F" w14:textId="77777777" w:rsidR="00F954B0" w:rsidRDefault="00F954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2NLO0NANicwMTM2MLUyUdpeDU4uLM/DyQArNaAD4eWcosAAAA"/>
  </w:docVars>
  <w:rsids>
    <w:rsidRoot w:val="00AE3E37"/>
    <w:rsid w:val="00015D22"/>
    <w:rsid w:val="000469E9"/>
    <w:rsid w:val="000E2911"/>
    <w:rsid w:val="001263DF"/>
    <w:rsid w:val="001C2645"/>
    <w:rsid w:val="001E27AE"/>
    <w:rsid w:val="001F1B38"/>
    <w:rsid w:val="00200067"/>
    <w:rsid w:val="0022450B"/>
    <w:rsid w:val="00225971"/>
    <w:rsid w:val="00264D2C"/>
    <w:rsid w:val="00292ED9"/>
    <w:rsid w:val="0030714D"/>
    <w:rsid w:val="0032453A"/>
    <w:rsid w:val="0032526C"/>
    <w:rsid w:val="00351D9B"/>
    <w:rsid w:val="0036058D"/>
    <w:rsid w:val="00380299"/>
    <w:rsid w:val="003E3296"/>
    <w:rsid w:val="00404E5B"/>
    <w:rsid w:val="00414F7B"/>
    <w:rsid w:val="004355DC"/>
    <w:rsid w:val="004749B4"/>
    <w:rsid w:val="00494130"/>
    <w:rsid w:val="004F3523"/>
    <w:rsid w:val="005366C7"/>
    <w:rsid w:val="005973B9"/>
    <w:rsid w:val="005B3A56"/>
    <w:rsid w:val="006060CE"/>
    <w:rsid w:val="0061505C"/>
    <w:rsid w:val="006305DC"/>
    <w:rsid w:val="0063497F"/>
    <w:rsid w:val="006912CA"/>
    <w:rsid w:val="006F31A9"/>
    <w:rsid w:val="00701569"/>
    <w:rsid w:val="00714354"/>
    <w:rsid w:val="00727FC3"/>
    <w:rsid w:val="007518B8"/>
    <w:rsid w:val="007704BB"/>
    <w:rsid w:val="007A1DFF"/>
    <w:rsid w:val="007A42B4"/>
    <w:rsid w:val="00873DF0"/>
    <w:rsid w:val="008756E6"/>
    <w:rsid w:val="00897EC5"/>
    <w:rsid w:val="008B7978"/>
    <w:rsid w:val="008E5477"/>
    <w:rsid w:val="00914EEE"/>
    <w:rsid w:val="00942E65"/>
    <w:rsid w:val="0094797E"/>
    <w:rsid w:val="009A1191"/>
    <w:rsid w:val="009B2D44"/>
    <w:rsid w:val="00A07E82"/>
    <w:rsid w:val="00A237A5"/>
    <w:rsid w:val="00A52075"/>
    <w:rsid w:val="00A57850"/>
    <w:rsid w:val="00A9710C"/>
    <w:rsid w:val="00AD154D"/>
    <w:rsid w:val="00AE3E37"/>
    <w:rsid w:val="00B21A57"/>
    <w:rsid w:val="00B2787A"/>
    <w:rsid w:val="00C33602"/>
    <w:rsid w:val="00C56C74"/>
    <w:rsid w:val="00CD6F55"/>
    <w:rsid w:val="00D65A77"/>
    <w:rsid w:val="00D87D59"/>
    <w:rsid w:val="00DC428C"/>
    <w:rsid w:val="00DE3104"/>
    <w:rsid w:val="00DE6170"/>
    <w:rsid w:val="00E30AAC"/>
    <w:rsid w:val="00E43595"/>
    <w:rsid w:val="00E95D97"/>
    <w:rsid w:val="00EC4A21"/>
    <w:rsid w:val="00EE6ADD"/>
    <w:rsid w:val="00F046EA"/>
    <w:rsid w:val="00F72EEA"/>
    <w:rsid w:val="00F84CAE"/>
    <w:rsid w:val="00F954B0"/>
    <w:rsid w:val="00FA41DE"/>
    <w:rsid w:val="00FE64AA"/>
    <w:rsid w:val="00FE716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rules v:ext="edit">
        <o:r id="V:Rule1" type="connector" idref="#Line 5"/>
      </o:rules>
    </o:shapelayout>
  </w:shapeDefaults>
  <w:decimalSymbol w:val="."/>
  <w:listSeparator w:val=","/>
  <w14:docId w14:val="4094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57850"/>
    <w:rPr>
      <w:color w:val="605E5C"/>
      <w:shd w:val="clear" w:color="auto" w:fill="E1DFDD"/>
    </w:rPr>
  </w:style>
  <w:style w:type="character" w:styleId="Strong">
    <w:name w:val="Strong"/>
    <w:basedOn w:val="DefaultParagraphFont"/>
    <w:uiPriority w:val="22"/>
    <w:qFormat/>
    <w:rsid w:val="00FE716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hmad.Kunba%20%20%20%20z@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3762</Characters>
  <Application>Microsoft Office Word</Application>
  <DocSecurity>0</DocSecurity>
  <Lines>31</Lines>
  <Paragraphs>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Pediatrics 2021</cp:lastModifiedBy>
  <cp:revision>2</cp:revision>
  <dcterms:created xsi:type="dcterms:W3CDTF">2023-01-18T06:12:00Z</dcterms:created>
  <dcterms:modified xsi:type="dcterms:W3CDTF">2023-01-18T06:12:00Z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122302f47cf268e3d0da9394901d408767f1fad4acc0cbeeafde9235efc948d2</vt:lpwstr>
  </property>
</Properties>
</file>