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7900" w:rsidRPr="00AE7900" w:rsidRDefault="00AE7900" w:rsidP="00AE7900">
      <w:pPr>
        <w:rPr>
          <w:rFonts w:ascii="Times New Roman" w:hAnsi="Times New Roman" w:cs="Times New Roman"/>
          <w:sz w:val="32"/>
          <w:szCs w:val="32"/>
        </w:rPr>
      </w:pPr>
      <w:r w:rsidRPr="00AE7900">
        <w:rPr>
          <w:rFonts w:ascii="Times New Roman" w:hAnsi="Times New Roman" w:cs="Times New Roman"/>
          <w:bCs/>
          <w:sz w:val="32"/>
          <w:szCs w:val="32"/>
        </w:rPr>
        <w:t>AYUSH Research Portal: matching traditional Indian knowledge with modern needs</w:t>
      </w:r>
    </w:p>
    <w:p w:rsidR="00886C6D" w:rsidRDefault="00AE7900">
      <w:pPr>
        <w:rPr>
          <w:rFonts w:ascii="Times New Roman" w:hAnsi="Times New Roman" w:cs="Times New Roman"/>
        </w:rPr>
      </w:pPr>
      <w:proofErr w:type="spellStart"/>
      <w:r w:rsidRPr="00AE7900">
        <w:rPr>
          <w:rFonts w:ascii="Times New Roman" w:hAnsi="Times New Roman" w:cs="Times New Roman"/>
        </w:rPr>
        <w:t>Rakesh</w:t>
      </w:r>
      <w:proofErr w:type="spellEnd"/>
      <w:r w:rsidRPr="00AE7900">
        <w:rPr>
          <w:rFonts w:ascii="Times New Roman" w:hAnsi="Times New Roman" w:cs="Times New Roman"/>
        </w:rPr>
        <w:t xml:space="preserve"> </w:t>
      </w:r>
      <w:proofErr w:type="spellStart"/>
      <w:r w:rsidRPr="00AE7900">
        <w:rPr>
          <w:rFonts w:ascii="Times New Roman" w:hAnsi="Times New Roman" w:cs="Times New Roman"/>
        </w:rPr>
        <w:t>Sarwal</w:t>
      </w:r>
      <w:proofErr w:type="spellEnd"/>
      <w:r w:rsidRPr="00AE7900">
        <w:rPr>
          <w:rFonts w:ascii="Times New Roman" w:hAnsi="Times New Roman" w:cs="Times New Roman"/>
        </w:rPr>
        <w:t>*</w:t>
      </w:r>
    </w:p>
    <w:p w:rsidR="00AE7900" w:rsidRPr="00A5674A" w:rsidRDefault="00AE7900">
      <w:pPr>
        <w:rPr>
          <w:rFonts w:ascii="Times New Roman" w:hAnsi="Times New Roman" w:cs="Times New Roman"/>
          <w:sz w:val="22"/>
          <w:szCs w:val="22"/>
        </w:rPr>
      </w:pPr>
      <w:r w:rsidRPr="00A5674A">
        <w:rPr>
          <w:rFonts w:ascii="Times New Roman" w:hAnsi="Times New Roman" w:cs="Times New Roman"/>
          <w:color w:val="000000"/>
          <w:sz w:val="22"/>
          <w:szCs w:val="22"/>
        </w:rPr>
        <w:t>Faridabad</w:t>
      </w:r>
    </w:p>
    <w:p w:rsidR="00AE7900" w:rsidRDefault="00AE7900" w:rsidP="00AE7900">
      <w:pPr>
        <w:rPr>
          <w:rFonts w:ascii="Times New Roman" w:hAnsi="Times New Roman" w:cs="Times New Roman"/>
          <w:b/>
        </w:rPr>
      </w:pPr>
      <w:r w:rsidRPr="00AE7900">
        <w:rPr>
          <w:rFonts w:ascii="Times New Roman" w:hAnsi="Times New Roman" w:cs="Times New Roman"/>
          <w:b/>
        </w:rPr>
        <w:t xml:space="preserve">                                                     Abstract</w:t>
      </w:r>
    </w:p>
    <w:p w:rsidR="00AE7900" w:rsidRPr="00A5674A" w:rsidRDefault="00AE7900" w:rsidP="00AE7900">
      <w:pPr>
        <w:jc w:val="both"/>
        <w:rPr>
          <w:rFonts w:ascii="Times New Roman" w:hAnsi="Times New Roman" w:cs="Times New Roman"/>
          <w:sz w:val="20"/>
          <w:szCs w:val="20"/>
        </w:rPr>
      </w:pPr>
      <w:r w:rsidRPr="00A5674A">
        <w:rPr>
          <w:rFonts w:ascii="Times New Roman" w:hAnsi="Times New Roman" w:cs="Times New Roman"/>
          <w:sz w:val="20"/>
          <w:szCs w:val="20"/>
        </w:rPr>
        <w:t>Indexing is a mandatory requirement for the sustenance and progress of any scientific discipline. The AYUSH Research Portal (ARP</w:t>
      </w:r>
      <w:proofErr w:type="gramStart"/>
      <w:r w:rsidRPr="00A5674A">
        <w:rPr>
          <w:rFonts w:ascii="Times New Roman" w:hAnsi="Times New Roman" w:cs="Times New Roman"/>
          <w:sz w:val="20"/>
          <w:szCs w:val="20"/>
        </w:rPr>
        <w:t>)  (</w:t>
      </w:r>
      <w:proofErr w:type="gramEnd"/>
      <w:r w:rsidRPr="00A5674A">
        <w:rPr>
          <w:rFonts w:ascii="Times New Roman" w:hAnsi="Times New Roman" w:cs="Times New Roman"/>
          <w:sz w:val="20"/>
          <w:szCs w:val="20"/>
        </w:rPr>
        <w:t xml:space="preserve">https://ayushportal.nic.in/) is meant exclusively for indexing and dissemination of research findings in the domain of Ayurveda, Yoga and Naturopathy, </w:t>
      </w:r>
      <w:proofErr w:type="spellStart"/>
      <w:r w:rsidRPr="00A5674A">
        <w:rPr>
          <w:rFonts w:ascii="Times New Roman" w:hAnsi="Times New Roman" w:cs="Times New Roman"/>
          <w:sz w:val="20"/>
          <w:szCs w:val="20"/>
        </w:rPr>
        <w:t>Unani</w:t>
      </w:r>
      <w:proofErr w:type="spellEnd"/>
      <w:r w:rsidRPr="00A5674A">
        <w:rPr>
          <w:rFonts w:ascii="Times New Roman" w:hAnsi="Times New Roman" w:cs="Times New Roman"/>
          <w:sz w:val="20"/>
          <w:szCs w:val="20"/>
        </w:rPr>
        <w:t>,</w:t>
      </w:r>
      <w:r w:rsidRPr="00A5674A">
        <w:rPr>
          <w:rFonts w:ascii="Times New Roman" w:hAnsi="Times New Roman" w:cs="Times New Roman"/>
          <w:sz w:val="20"/>
          <w:szCs w:val="20"/>
        </w:rPr>
        <w:br/>
        <w:t>Siddha, Sowa-</w:t>
      </w:r>
      <w:proofErr w:type="spellStart"/>
      <w:r w:rsidRPr="00A5674A">
        <w:rPr>
          <w:rFonts w:ascii="Times New Roman" w:hAnsi="Times New Roman" w:cs="Times New Roman"/>
          <w:sz w:val="20"/>
          <w:szCs w:val="20"/>
        </w:rPr>
        <w:t>Rigpa</w:t>
      </w:r>
      <w:proofErr w:type="spellEnd"/>
      <w:r w:rsidRPr="00A5674A">
        <w:rPr>
          <w:rFonts w:ascii="Times New Roman" w:hAnsi="Times New Roman" w:cs="Times New Roman"/>
          <w:sz w:val="20"/>
          <w:szCs w:val="20"/>
        </w:rPr>
        <w:t xml:space="preserve"> and Homeopathy (AYUSH) and allied faculties. By 2010, despite the availability of up to 45 databases catering to complementary and alternative medical systems, none was dedicated to index-based search on the literature of AYUSH systems. Though PubMed remained a vast storehouse, limited indexation of AYUSH journals left searches incomplete. To address this problem, a dedicated portal on AYUSH systems was developed with </w:t>
      </w:r>
      <w:proofErr w:type="gramStart"/>
      <w:r w:rsidRPr="00A5674A">
        <w:rPr>
          <w:rFonts w:ascii="Times New Roman" w:hAnsi="Times New Roman" w:cs="Times New Roman"/>
          <w:sz w:val="20"/>
          <w:szCs w:val="20"/>
        </w:rPr>
        <w:t>an  exclusive</w:t>
      </w:r>
      <w:proofErr w:type="gramEnd"/>
      <w:r w:rsidRPr="00A5674A">
        <w:rPr>
          <w:rFonts w:ascii="Times New Roman" w:hAnsi="Times New Roman" w:cs="Times New Roman"/>
          <w:sz w:val="20"/>
          <w:szCs w:val="20"/>
        </w:rPr>
        <w:t xml:space="preserve"> focus on bringing research findings in a relatable, user-friendly manner by providing for search using International Classification of Disease-10 terms and International Classification of Primary Care classification while at the same time preserving the ontological nuances of these systems. This endeavour over a decade has resulted in a portal housing more than 30,000 articles with a good reception among the scientific community. We discuss the evolution of the concept and steps involved in the development and sustenance of ARP. We list further steps required to develop the portal into a global treasure house.</w:t>
      </w:r>
    </w:p>
    <w:p w:rsidR="00AE7900" w:rsidRDefault="00AE7900" w:rsidP="00AE7900">
      <w:pPr>
        <w:jc w:val="both"/>
        <w:rPr>
          <w:rFonts w:ascii="Times New Roman" w:hAnsi="Times New Roman" w:cs="Times New Roman"/>
          <w:sz w:val="20"/>
          <w:szCs w:val="20"/>
        </w:rPr>
      </w:pPr>
    </w:p>
    <w:p w:rsidR="00AE7900" w:rsidRDefault="00AE7900" w:rsidP="00AE7900">
      <w:pPr>
        <w:jc w:val="both"/>
        <w:rPr>
          <w:rFonts w:ascii="Times New Roman" w:hAnsi="Times New Roman" w:cs="Times New Roman"/>
          <w:b/>
        </w:rPr>
      </w:pPr>
      <w:r w:rsidRPr="00AE7900">
        <w:rPr>
          <w:rFonts w:ascii="Times New Roman" w:hAnsi="Times New Roman" w:cs="Times New Roman"/>
          <w:b/>
        </w:rPr>
        <w:t>References:</w:t>
      </w:r>
      <w:bookmarkStart w:id="0" w:name="_GoBack"/>
      <w:bookmarkEnd w:id="0"/>
    </w:p>
    <w:p w:rsidR="00AE7900" w:rsidRPr="00AE7900" w:rsidRDefault="00AE7900" w:rsidP="00AE7900">
      <w:pPr>
        <w:spacing w:before="92"/>
        <w:ind w:right="-57"/>
        <w:rPr>
          <w:rFonts w:ascii="Times New Roman" w:hAnsi="Times New Roman" w:cs="Times New Roman"/>
          <w:sz w:val="20"/>
          <w:szCs w:val="20"/>
        </w:rPr>
      </w:pPr>
      <w:r w:rsidRPr="00AE7900">
        <w:rPr>
          <w:rFonts w:ascii="Times New Roman" w:hAnsi="Times New Roman" w:cs="Times New Roman"/>
          <w:sz w:val="20"/>
          <w:szCs w:val="20"/>
        </w:rPr>
        <w:t xml:space="preserve">1. </w:t>
      </w:r>
      <w:proofErr w:type="spellStart"/>
      <w:r w:rsidRPr="00AE7900">
        <w:rPr>
          <w:rFonts w:ascii="Times New Roman" w:hAnsi="Times New Roman" w:cs="Times New Roman"/>
          <w:sz w:val="20"/>
          <w:szCs w:val="20"/>
        </w:rPr>
        <w:t>Sarwal</w:t>
      </w:r>
      <w:proofErr w:type="spellEnd"/>
      <w:r w:rsidRPr="00AE7900">
        <w:rPr>
          <w:rFonts w:ascii="Times New Roman" w:hAnsi="Times New Roman" w:cs="Times New Roman"/>
          <w:sz w:val="20"/>
          <w:szCs w:val="20"/>
        </w:rPr>
        <w:t xml:space="preserve"> R, </w:t>
      </w:r>
      <w:proofErr w:type="spellStart"/>
      <w:r w:rsidRPr="00AE7900">
        <w:rPr>
          <w:rFonts w:ascii="Times New Roman" w:hAnsi="Times New Roman" w:cs="Times New Roman"/>
          <w:sz w:val="20"/>
          <w:szCs w:val="20"/>
        </w:rPr>
        <w:t>Dhamija</w:t>
      </w:r>
      <w:proofErr w:type="spellEnd"/>
      <w:r w:rsidRPr="00AE7900">
        <w:rPr>
          <w:rFonts w:ascii="Times New Roman" w:hAnsi="Times New Roman" w:cs="Times New Roman"/>
          <w:sz w:val="20"/>
          <w:szCs w:val="20"/>
        </w:rPr>
        <w:t xml:space="preserve"> RK, Jain K and </w:t>
      </w:r>
      <w:proofErr w:type="spellStart"/>
      <w:r w:rsidRPr="00AE7900">
        <w:rPr>
          <w:rFonts w:ascii="Times New Roman" w:hAnsi="Times New Roman" w:cs="Times New Roman"/>
          <w:sz w:val="20"/>
          <w:szCs w:val="20"/>
        </w:rPr>
        <w:t>Basavaraddi</w:t>
      </w:r>
      <w:proofErr w:type="spellEnd"/>
      <w:r w:rsidRPr="00AE7900">
        <w:rPr>
          <w:rFonts w:ascii="Times New Roman" w:hAnsi="Times New Roman" w:cs="Times New Roman"/>
          <w:sz w:val="20"/>
          <w:szCs w:val="20"/>
        </w:rPr>
        <w:t xml:space="preserve"> IV: Efficacy of Pranayama in Preventing COVID-19 in Exposed Healthcare Professionals: A Quasi-Randomized Clinical Trial. </w:t>
      </w:r>
      <w:proofErr w:type="gramStart"/>
      <w:r w:rsidRPr="00AE7900">
        <w:rPr>
          <w:rFonts w:ascii="Times New Roman" w:hAnsi="Times New Roman" w:cs="Times New Roman"/>
          <w:sz w:val="20"/>
          <w:szCs w:val="20"/>
        </w:rPr>
        <w:t>Journal of Ayurveda and Integrative Medicine.</w:t>
      </w:r>
      <w:proofErr w:type="gramEnd"/>
      <w:r w:rsidRPr="00AE7900">
        <w:rPr>
          <w:rFonts w:ascii="Times New Roman" w:hAnsi="Times New Roman" w:cs="Times New Roman"/>
          <w:sz w:val="20"/>
          <w:szCs w:val="20"/>
        </w:rPr>
        <w:t xml:space="preserve"> 2022:100586. Available from: https://www.sciencedirect.com/science/article/pii/S0975947622000456</w:t>
      </w:r>
    </w:p>
    <w:p w:rsidR="00AE7900" w:rsidRPr="00AE7900" w:rsidRDefault="00AE7900" w:rsidP="00AE7900">
      <w:pPr>
        <w:spacing w:before="92"/>
        <w:ind w:right="-57"/>
        <w:rPr>
          <w:rFonts w:ascii="Times New Roman" w:hAnsi="Times New Roman" w:cs="Times New Roman"/>
          <w:sz w:val="20"/>
          <w:szCs w:val="20"/>
        </w:rPr>
      </w:pPr>
      <w:r w:rsidRPr="00AE7900">
        <w:rPr>
          <w:rFonts w:ascii="Times New Roman" w:hAnsi="Times New Roman" w:cs="Times New Roman"/>
          <w:sz w:val="20"/>
          <w:szCs w:val="20"/>
        </w:rPr>
        <w:t xml:space="preserve">2. </w:t>
      </w:r>
      <w:proofErr w:type="spellStart"/>
      <w:r w:rsidRPr="00AE7900">
        <w:rPr>
          <w:rFonts w:ascii="Times New Roman" w:hAnsi="Times New Roman" w:cs="Times New Roman"/>
          <w:sz w:val="20"/>
          <w:szCs w:val="20"/>
        </w:rPr>
        <w:t>Sarwal</w:t>
      </w:r>
      <w:proofErr w:type="spellEnd"/>
      <w:r w:rsidRPr="00AE7900">
        <w:rPr>
          <w:rFonts w:ascii="Times New Roman" w:hAnsi="Times New Roman" w:cs="Times New Roman"/>
          <w:sz w:val="20"/>
          <w:szCs w:val="20"/>
        </w:rPr>
        <w:t xml:space="preserve"> R and Kumar S: Closing human resources gap in health: Moving beyond production to proactive recruitments. </w:t>
      </w:r>
      <w:proofErr w:type="gramStart"/>
      <w:r w:rsidRPr="00AE7900">
        <w:rPr>
          <w:rFonts w:ascii="Times New Roman" w:hAnsi="Times New Roman" w:cs="Times New Roman"/>
          <w:sz w:val="20"/>
          <w:szCs w:val="20"/>
        </w:rPr>
        <w:t>Journal of Family Medicine and Primary Care.</w:t>
      </w:r>
      <w:proofErr w:type="gramEnd"/>
      <w:r w:rsidRPr="00AE7900">
        <w:rPr>
          <w:rFonts w:ascii="Times New Roman" w:hAnsi="Times New Roman" w:cs="Times New Roman"/>
          <w:sz w:val="20"/>
          <w:szCs w:val="20"/>
        </w:rPr>
        <w:t xml:space="preserve"> 2022</w:t>
      </w:r>
      <w:proofErr w:type="gramStart"/>
      <w:r w:rsidRPr="00AE7900">
        <w:rPr>
          <w:rFonts w:ascii="Times New Roman" w:hAnsi="Times New Roman" w:cs="Times New Roman"/>
          <w:sz w:val="20"/>
          <w:szCs w:val="20"/>
        </w:rPr>
        <w:t>;11:4190</w:t>
      </w:r>
      <w:proofErr w:type="gramEnd"/>
      <w:r w:rsidRPr="00AE7900">
        <w:rPr>
          <w:rFonts w:ascii="Times New Roman" w:hAnsi="Times New Roman" w:cs="Times New Roman"/>
          <w:sz w:val="20"/>
          <w:szCs w:val="20"/>
        </w:rPr>
        <w:t>. Available from: https://doi.org/10.4103%2Fjfmpc.jfmpc_2463_21</w:t>
      </w:r>
    </w:p>
    <w:p w:rsidR="00AE7900" w:rsidRPr="00AE7900" w:rsidRDefault="00AE7900" w:rsidP="00AE7900">
      <w:pPr>
        <w:spacing w:before="92"/>
        <w:ind w:right="-57"/>
        <w:rPr>
          <w:rFonts w:ascii="Times New Roman" w:hAnsi="Times New Roman" w:cs="Times New Roman"/>
          <w:sz w:val="20"/>
          <w:szCs w:val="20"/>
        </w:rPr>
      </w:pPr>
      <w:r w:rsidRPr="00AE7900">
        <w:rPr>
          <w:rFonts w:ascii="Times New Roman" w:hAnsi="Times New Roman" w:cs="Times New Roman"/>
          <w:sz w:val="20"/>
          <w:szCs w:val="20"/>
        </w:rPr>
        <w:t xml:space="preserve">3. </w:t>
      </w:r>
      <w:proofErr w:type="spellStart"/>
      <w:r w:rsidRPr="00AE7900">
        <w:rPr>
          <w:rFonts w:ascii="Times New Roman" w:hAnsi="Times New Roman" w:cs="Times New Roman"/>
          <w:sz w:val="20"/>
          <w:szCs w:val="20"/>
        </w:rPr>
        <w:t>Sarwal</w:t>
      </w:r>
      <w:proofErr w:type="spellEnd"/>
      <w:r w:rsidRPr="00AE7900">
        <w:rPr>
          <w:rFonts w:ascii="Times New Roman" w:hAnsi="Times New Roman" w:cs="Times New Roman"/>
          <w:sz w:val="20"/>
          <w:szCs w:val="20"/>
        </w:rPr>
        <w:t xml:space="preserve"> R, Meena HK, Thakur R, </w:t>
      </w:r>
      <w:proofErr w:type="spellStart"/>
      <w:r w:rsidRPr="00AE7900">
        <w:rPr>
          <w:rFonts w:ascii="Times New Roman" w:hAnsi="Times New Roman" w:cs="Times New Roman"/>
          <w:sz w:val="20"/>
          <w:szCs w:val="20"/>
        </w:rPr>
        <w:t>Yunus</w:t>
      </w:r>
      <w:proofErr w:type="spellEnd"/>
      <w:r w:rsidRPr="00AE7900">
        <w:rPr>
          <w:rFonts w:ascii="Times New Roman" w:hAnsi="Times New Roman" w:cs="Times New Roman"/>
          <w:sz w:val="20"/>
          <w:szCs w:val="20"/>
        </w:rPr>
        <w:t xml:space="preserve"> S and </w:t>
      </w:r>
      <w:proofErr w:type="spellStart"/>
      <w:r w:rsidRPr="00AE7900">
        <w:rPr>
          <w:rFonts w:ascii="Times New Roman" w:hAnsi="Times New Roman" w:cs="Times New Roman"/>
          <w:sz w:val="20"/>
          <w:szCs w:val="20"/>
        </w:rPr>
        <w:t>kenefick</w:t>
      </w:r>
      <w:proofErr w:type="spellEnd"/>
      <w:r w:rsidRPr="00AE7900">
        <w:rPr>
          <w:rFonts w:ascii="Times New Roman" w:hAnsi="Times New Roman" w:cs="Times New Roman"/>
          <w:sz w:val="20"/>
          <w:szCs w:val="20"/>
        </w:rPr>
        <w:t xml:space="preserve">  E: Take Home Ration-Good Practices Across the States/UTs. 2022. Available from: https://doi.org/10.31219%2Fosf.io%2Ffhaqr</w:t>
      </w:r>
    </w:p>
    <w:p w:rsidR="00AE7900" w:rsidRPr="00AE7900" w:rsidRDefault="00AE7900" w:rsidP="00AE7900">
      <w:pPr>
        <w:spacing w:before="92"/>
        <w:ind w:right="-57"/>
        <w:rPr>
          <w:rFonts w:ascii="Times New Roman" w:hAnsi="Times New Roman" w:cs="Times New Roman"/>
          <w:sz w:val="20"/>
          <w:szCs w:val="20"/>
        </w:rPr>
      </w:pPr>
      <w:r w:rsidRPr="00AE7900">
        <w:rPr>
          <w:rFonts w:ascii="Times New Roman" w:hAnsi="Times New Roman" w:cs="Times New Roman"/>
          <w:sz w:val="20"/>
          <w:szCs w:val="20"/>
        </w:rPr>
        <w:t xml:space="preserve">4. Wang W, Blossom J, Kim J, </w:t>
      </w:r>
      <w:proofErr w:type="spellStart"/>
      <w:r w:rsidRPr="00AE7900">
        <w:rPr>
          <w:rFonts w:ascii="Times New Roman" w:hAnsi="Times New Roman" w:cs="Times New Roman"/>
          <w:sz w:val="20"/>
          <w:szCs w:val="20"/>
        </w:rPr>
        <w:t>deSouza</w:t>
      </w:r>
      <w:proofErr w:type="spellEnd"/>
      <w:r w:rsidRPr="00AE7900">
        <w:rPr>
          <w:rFonts w:ascii="Times New Roman" w:hAnsi="Times New Roman" w:cs="Times New Roman"/>
          <w:sz w:val="20"/>
          <w:szCs w:val="20"/>
        </w:rPr>
        <w:t xml:space="preserve">  P, Zhang W, Kim R, </w:t>
      </w:r>
      <w:proofErr w:type="spellStart"/>
      <w:r w:rsidRPr="00AE7900">
        <w:rPr>
          <w:rFonts w:ascii="Times New Roman" w:hAnsi="Times New Roman" w:cs="Times New Roman"/>
          <w:sz w:val="20"/>
          <w:szCs w:val="20"/>
        </w:rPr>
        <w:t>Sarwal</w:t>
      </w:r>
      <w:proofErr w:type="spellEnd"/>
      <w:r w:rsidRPr="00AE7900">
        <w:rPr>
          <w:rFonts w:ascii="Times New Roman" w:hAnsi="Times New Roman" w:cs="Times New Roman"/>
          <w:sz w:val="20"/>
          <w:szCs w:val="20"/>
        </w:rPr>
        <w:t xml:space="preserve"> R and Subramanian SV: COVID-19 metrics across parliamentary constituencies and districts in India. </w:t>
      </w:r>
      <w:proofErr w:type="gramStart"/>
      <w:r w:rsidRPr="00AE7900">
        <w:rPr>
          <w:rFonts w:ascii="Times New Roman" w:hAnsi="Times New Roman" w:cs="Times New Roman"/>
          <w:sz w:val="20"/>
          <w:szCs w:val="20"/>
        </w:rPr>
        <w:t>Annals of {GIS}.</w:t>
      </w:r>
      <w:proofErr w:type="gramEnd"/>
      <w:r w:rsidRPr="00AE7900">
        <w:rPr>
          <w:rFonts w:ascii="Times New Roman" w:hAnsi="Times New Roman" w:cs="Times New Roman"/>
          <w:sz w:val="20"/>
          <w:szCs w:val="20"/>
        </w:rPr>
        <w:t xml:space="preserve"> 2022:1-9. Available from: https://doi.org/10.1080%2F19475683.2022.2044903</w:t>
      </w:r>
    </w:p>
    <w:p w:rsidR="00AE7900" w:rsidRDefault="00AE7900" w:rsidP="00AE7900">
      <w:pPr>
        <w:spacing w:before="92"/>
        <w:ind w:right="-57"/>
        <w:rPr>
          <w:rFonts w:ascii="Times New Roman" w:hAnsi="Times New Roman" w:cs="Times New Roman"/>
          <w:sz w:val="20"/>
          <w:szCs w:val="20"/>
        </w:rPr>
      </w:pPr>
      <w:r w:rsidRPr="00AE7900">
        <w:rPr>
          <w:rFonts w:ascii="Times New Roman" w:hAnsi="Times New Roman" w:cs="Times New Roman"/>
          <w:sz w:val="20"/>
          <w:szCs w:val="20"/>
        </w:rPr>
        <w:t xml:space="preserve">5. </w:t>
      </w:r>
      <w:proofErr w:type="spellStart"/>
      <w:r w:rsidRPr="00AE7900">
        <w:rPr>
          <w:rFonts w:ascii="Times New Roman" w:hAnsi="Times New Roman" w:cs="Times New Roman"/>
          <w:sz w:val="20"/>
          <w:szCs w:val="20"/>
        </w:rPr>
        <w:t>Chaudhary</w:t>
      </w:r>
      <w:proofErr w:type="spellEnd"/>
      <w:r w:rsidRPr="00AE7900">
        <w:rPr>
          <w:rFonts w:ascii="Times New Roman" w:hAnsi="Times New Roman" w:cs="Times New Roman"/>
          <w:sz w:val="20"/>
          <w:szCs w:val="20"/>
        </w:rPr>
        <w:t xml:space="preserve"> V, </w:t>
      </w:r>
      <w:proofErr w:type="spellStart"/>
      <w:r w:rsidRPr="00AE7900">
        <w:rPr>
          <w:rFonts w:ascii="Times New Roman" w:hAnsi="Times New Roman" w:cs="Times New Roman"/>
          <w:sz w:val="20"/>
          <w:szCs w:val="20"/>
        </w:rPr>
        <w:t>Saraswathy</w:t>
      </w:r>
      <w:proofErr w:type="spellEnd"/>
      <w:r w:rsidRPr="00AE7900">
        <w:rPr>
          <w:rFonts w:ascii="Times New Roman" w:hAnsi="Times New Roman" w:cs="Times New Roman"/>
          <w:sz w:val="20"/>
          <w:szCs w:val="20"/>
        </w:rPr>
        <w:t xml:space="preserve"> KN, </w:t>
      </w:r>
      <w:proofErr w:type="spellStart"/>
      <w:r w:rsidRPr="00AE7900">
        <w:rPr>
          <w:rFonts w:ascii="Times New Roman" w:hAnsi="Times New Roman" w:cs="Times New Roman"/>
          <w:sz w:val="20"/>
          <w:szCs w:val="20"/>
        </w:rPr>
        <w:t>Sarwal</w:t>
      </w:r>
      <w:proofErr w:type="spellEnd"/>
      <w:r w:rsidRPr="00AE7900">
        <w:rPr>
          <w:rFonts w:ascii="Times New Roman" w:hAnsi="Times New Roman" w:cs="Times New Roman"/>
          <w:sz w:val="20"/>
          <w:szCs w:val="20"/>
        </w:rPr>
        <w:t xml:space="preserve"> R. Dietary diversity as a sustainable approach towards micronutrient deficiencies in India. Indian J Med Res. 2022 Jan</w:t>
      </w:r>
      <w:proofErr w:type="gramStart"/>
      <w:r w:rsidRPr="00AE7900">
        <w:rPr>
          <w:rFonts w:ascii="Times New Roman" w:hAnsi="Times New Roman" w:cs="Times New Roman"/>
          <w:sz w:val="20"/>
          <w:szCs w:val="20"/>
        </w:rPr>
        <w:t>;156</w:t>
      </w:r>
      <w:proofErr w:type="gramEnd"/>
      <w:r w:rsidRPr="00AE7900">
        <w:rPr>
          <w:rFonts w:ascii="Times New Roman" w:hAnsi="Times New Roman" w:cs="Times New Roman"/>
          <w:sz w:val="20"/>
          <w:szCs w:val="20"/>
        </w:rPr>
        <w:t xml:space="preserve">(1):31-45. </w:t>
      </w:r>
      <w:proofErr w:type="spellStart"/>
      <w:proofErr w:type="gramStart"/>
      <w:r w:rsidRPr="00AE7900">
        <w:rPr>
          <w:rFonts w:ascii="Times New Roman" w:hAnsi="Times New Roman" w:cs="Times New Roman"/>
          <w:sz w:val="20"/>
          <w:szCs w:val="20"/>
        </w:rPr>
        <w:t>doi</w:t>
      </w:r>
      <w:proofErr w:type="spellEnd"/>
      <w:proofErr w:type="gramEnd"/>
      <w:r w:rsidRPr="00AE7900">
        <w:rPr>
          <w:rFonts w:ascii="Times New Roman" w:hAnsi="Times New Roman" w:cs="Times New Roman"/>
          <w:sz w:val="20"/>
          <w:szCs w:val="20"/>
        </w:rPr>
        <w:t>: 10.4103/ijmr.ijmr_3314_21. PMID: 36510896.</w:t>
      </w:r>
    </w:p>
    <w:p w:rsidR="00AE7900" w:rsidRDefault="00AE7900" w:rsidP="00AE7900">
      <w:pPr>
        <w:spacing w:before="92"/>
        <w:ind w:right="-57"/>
        <w:rPr>
          <w:rFonts w:ascii="Times New Roman" w:hAnsi="Times New Roman" w:cs="Times New Roman"/>
          <w:b/>
          <w:color w:val="000000" w:themeColor="text1"/>
        </w:rPr>
      </w:pPr>
      <w:r w:rsidRPr="00AE7900">
        <w:rPr>
          <w:rFonts w:ascii="Times New Roman" w:hAnsi="Times New Roman" w:cs="Times New Roman"/>
          <w:b/>
          <w:color w:val="000000" w:themeColor="text1"/>
        </w:rPr>
        <w:t>Biography</w:t>
      </w:r>
      <w:r w:rsidRPr="00AE7900">
        <w:rPr>
          <w:rFonts w:ascii="Times New Roman" w:hAnsi="Times New Roman" w:cs="Times New Roman"/>
          <w:b/>
          <w:color w:val="000000" w:themeColor="text1"/>
        </w:rPr>
        <w:t>:</w:t>
      </w:r>
    </w:p>
    <w:p w:rsidR="00AE7900" w:rsidRPr="00A5674A" w:rsidRDefault="00AE7900" w:rsidP="00AE7900">
      <w:pPr>
        <w:spacing w:before="92"/>
        <w:ind w:right="-57"/>
        <w:rPr>
          <w:sz w:val="20"/>
          <w:szCs w:val="20"/>
        </w:rPr>
      </w:pPr>
      <w:proofErr w:type="spellStart"/>
      <w:r w:rsidRPr="00A5674A">
        <w:rPr>
          <w:rFonts w:ascii="Times New Roman" w:hAnsi="Times New Roman" w:cs="Times New Roman"/>
          <w:sz w:val="20"/>
          <w:szCs w:val="20"/>
        </w:rPr>
        <w:t>Dr.</w:t>
      </w:r>
      <w:proofErr w:type="spellEnd"/>
      <w:r w:rsidRPr="00A5674A">
        <w:rPr>
          <w:rFonts w:ascii="Times New Roman" w:hAnsi="Times New Roman" w:cs="Times New Roman"/>
          <w:sz w:val="20"/>
          <w:szCs w:val="20"/>
        </w:rPr>
        <w:t xml:space="preserve"> </w:t>
      </w:r>
      <w:proofErr w:type="spellStart"/>
      <w:r w:rsidRPr="00A5674A">
        <w:rPr>
          <w:rFonts w:ascii="Times New Roman" w:hAnsi="Times New Roman" w:cs="Times New Roman"/>
          <w:sz w:val="20"/>
          <w:szCs w:val="20"/>
        </w:rPr>
        <w:t>Sarwal</w:t>
      </w:r>
      <w:proofErr w:type="spellEnd"/>
      <w:r w:rsidRPr="00A5674A">
        <w:rPr>
          <w:rFonts w:ascii="Times New Roman" w:hAnsi="Times New Roman" w:cs="Times New Roman"/>
          <w:sz w:val="20"/>
          <w:szCs w:val="20"/>
        </w:rPr>
        <w:t xml:space="preserve"> is </w:t>
      </w:r>
      <w:proofErr w:type="gramStart"/>
      <w:r w:rsidRPr="00A5674A">
        <w:rPr>
          <w:rFonts w:ascii="Times New Roman" w:hAnsi="Times New Roman" w:cs="Times New Roman"/>
          <w:sz w:val="20"/>
          <w:szCs w:val="20"/>
        </w:rPr>
        <w:t xml:space="preserve">a  </w:t>
      </w:r>
      <w:r w:rsidRPr="00A5674A">
        <w:rPr>
          <w:rFonts w:ascii="aerial" w:hAnsi="aerial" w:cs="Times New Roman"/>
          <w:sz w:val="20"/>
          <w:szCs w:val="20"/>
        </w:rPr>
        <w:t>Public</w:t>
      </w:r>
      <w:proofErr w:type="gramEnd"/>
      <w:r w:rsidRPr="00A5674A">
        <w:rPr>
          <w:rFonts w:ascii="aerial" w:hAnsi="aerial" w:cs="Times New Roman"/>
          <w:sz w:val="20"/>
          <w:szCs w:val="20"/>
        </w:rPr>
        <w:t xml:space="preserve"> Health, Energy expert and Public Policy practitioner with three decades of experience in research, planning and managing developmental programs. He combines academic rigour and ground level insights with an inter-disciplinary perspective to </w:t>
      </w:r>
      <w:proofErr w:type="spellStart"/>
      <w:r w:rsidRPr="00A5674A">
        <w:rPr>
          <w:rFonts w:ascii="aerial" w:hAnsi="aerial" w:cs="Times New Roman"/>
          <w:sz w:val="20"/>
          <w:szCs w:val="20"/>
        </w:rPr>
        <w:t>analyze</w:t>
      </w:r>
      <w:proofErr w:type="spellEnd"/>
      <w:r w:rsidRPr="00A5674A">
        <w:rPr>
          <w:rFonts w:ascii="aerial" w:hAnsi="aerial" w:cs="Times New Roman"/>
          <w:sz w:val="20"/>
          <w:szCs w:val="20"/>
        </w:rPr>
        <w:t xml:space="preserve"> problems and suggest feasible solutions. He collaborates, mentors, builds teams for system wide and lasting changes.</w:t>
      </w:r>
    </w:p>
    <w:p w:rsidR="00AE7900" w:rsidRDefault="00AE7900" w:rsidP="00AE7900">
      <w:pPr>
        <w:spacing w:before="92"/>
        <w:ind w:right="-57"/>
        <w:rPr>
          <w:sz w:val="22"/>
          <w:szCs w:val="22"/>
        </w:rPr>
      </w:pPr>
    </w:p>
    <w:p w:rsidR="00AE7900" w:rsidRPr="00AE7900" w:rsidRDefault="00AE7900" w:rsidP="00AE7900">
      <w:pPr>
        <w:spacing w:before="92"/>
        <w:ind w:right="-57"/>
        <w:rPr>
          <w:rFonts w:ascii="Times New Roman" w:hAnsi="Times New Roman" w:cs="Times New Roman"/>
          <w:b/>
          <w:color w:val="000000" w:themeColor="text1"/>
        </w:rPr>
      </w:pPr>
    </w:p>
    <w:p w:rsidR="00AE7900" w:rsidRPr="00AE7900" w:rsidRDefault="00AE7900" w:rsidP="00AE7900">
      <w:pPr>
        <w:spacing w:before="92"/>
        <w:ind w:right="-57"/>
        <w:rPr>
          <w:rFonts w:ascii="Times New Roman" w:hAnsi="Times New Roman" w:cs="Times New Roman"/>
          <w:color w:val="000000" w:themeColor="text1"/>
        </w:rPr>
      </w:pPr>
    </w:p>
    <w:p w:rsidR="00AE7900" w:rsidRPr="00AE7900" w:rsidRDefault="00AE7900" w:rsidP="00AE7900">
      <w:pPr>
        <w:jc w:val="both"/>
        <w:rPr>
          <w:rFonts w:ascii="Times New Roman" w:hAnsi="Times New Roman" w:cs="Times New Roman"/>
          <w:b/>
          <w:sz w:val="20"/>
          <w:szCs w:val="20"/>
        </w:rPr>
      </w:pPr>
    </w:p>
    <w:p w:rsidR="00AE7900" w:rsidRPr="00AE7900" w:rsidRDefault="00AE7900" w:rsidP="00AE7900">
      <w:pPr>
        <w:rPr>
          <w:rFonts w:ascii="Times New Roman" w:hAnsi="Times New Roman" w:cs="Times New Roman"/>
          <w:b/>
          <w:sz w:val="20"/>
          <w:szCs w:val="20"/>
        </w:rPr>
      </w:pPr>
    </w:p>
    <w:p w:rsidR="00AE7900" w:rsidRPr="00AE7900" w:rsidRDefault="00AE7900" w:rsidP="00AE7900">
      <w:pPr>
        <w:rPr>
          <w:rFonts w:ascii="Times New Roman" w:hAnsi="Times New Roman" w:cs="Times New Roman"/>
          <w:b/>
        </w:rPr>
      </w:pPr>
    </w:p>
    <w:p w:rsidR="00AE7900" w:rsidRPr="00AE7900" w:rsidRDefault="00AE7900">
      <w:pPr>
        <w:rPr>
          <w:rFonts w:ascii="Times New Roman" w:hAnsi="Times New Roman" w:cs="Times New Roman"/>
        </w:rPr>
      </w:pPr>
    </w:p>
    <w:sectPr w:rsidR="00AE7900" w:rsidRPr="00AE790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erif">
    <w:altName w:val="Times New Roman"/>
    <w:charset w:val="01"/>
    <w:family w:val="roman"/>
    <w:pitch w:val="variable"/>
  </w:font>
  <w:font w:name="Noto Serif CJK SC">
    <w:charset w:val="01"/>
    <w:family w:val="auto"/>
    <w:pitch w:val="variable"/>
  </w:font>
  <w:font w:name="Lohit Devanagari">
    <w:altName w:val="Times New Roman"/>
    <w:charset w:val="01"/>
    <w:family w:val="auto"/>
    <w:pitch w:val="variable"/>
  </w:font>
  <w:font w:name="aerial">
    <w:altName w:val="Times New Roman"/>
    <w:charset w:val="01"/>
    <w:family w:val="auto"/>
    <w:pitch w:val="default"/>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7900"/>
    <w:rsid w:val="00275660"/>
    <w:rsid w:val="008D4CD2"/>
    <w:rsid w:val="00A5674A"/>
    <w:rsid w:val="00AE7900"/>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7900"/>
    <w:pPr>
      <w:suppressAutoHyphens/>
      <w:spacing w:after="0" w:line="240" w:lineRule="auto"/>
    </w:pPr>
    <w:rPr>
      <w:rFonts w:ascii="Liberation Serif" w:eastAsia="Noto Serif CJK SC" w:hAnsi="Liberation Serif" w:cs="Lohit Devanagari"/>
      <w:kern w:val="2"/>
      <w:sz w:val="24"/>
      <w:szCs w:val="24"/>
      <w:lang w:eastAsia="zh-CN" w:bidi="hi-IN"/>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7900"/>
    <w:pPr>
      <w:suppressAutoHyphens/>
      <w:spacing w:after="0" w:line="240" w:lineRule="auto"/>
    </w:pPr>
    <w:rPr>
      <w:rFonts w:ascii="Liberation Serif" w:eastAsia="Noto Serif CJK SC" w:hAnsi="Liberation Serif" w:cs="Lohit Devanagari"/>
      <w:kern w:val="2"/>
      <w:sz w:val="24"/>
      <w:szCs w:val="24"/>
      <w:lang w:eastAsia="zh-CN" w:bidi="hi-IN"/>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470</Words>
  <Characters>2679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omics</cp:lastModifiedBy>
  <cp:revision>1</cp:revision>
  <dcterms:created xsi:type="dcterms:W3CDTF">2023-01-17T04:14:00Z</dcterms:created>
  <dcterms:modified xsi:type="dcterms:W3CDTF">2023-01-17T04:33:00Z</dcterms:modified>
</cp:coreProperties>
</file>