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5D0558" w14:textId="6CEE8E67" w:rsidR="00AE3E37" w:rsidRDefault="00BF57A9" w:rsidP="000534A1">
      <w:pPr>
        <w:pStyle w:val="Heading1"/>
        <w:spacing w:before="170"/>
        <w:ind w:left="0"/>
        <w:jc w:val="both"/>
      </w:pPr>
      <w:bookmarkStart w:id="0" w:name="_GoBack"/>
      <w:bookmarkEnd w:id="0"/>
      <w:r>
        <w:rPr>
          <w:color w:val="337AB7"/>
        </w:rPr>
        <w:t xml:space="preserve">Intent-Driven (AI/ML) Governance </w:t>
      </w:r>
      <w:r w:rsidR="00E63E2A">
        <w:rPr>
          <w:color w:val="337AB7"/>
        </w:rPr>
        <w:t>for</w:t>
      </w:r>
      <w:r>
        <w:rPr>
          <w:color w:val="337AB7"/>
        </w:rPr>
        <w:t xml:space="preserve"> Dynamic Data Controls</w:t>
      </w:r>
    </w:p>
    <w:p w14:paraId="0BA2B785" w14:textId="4FEC8773" w:rsidR="005973B9" w:rsidRDefault="000F49F0" w:rsidP="000F49F0">
      <w:pPr>
        <w:pStyle w:val="BodyText"/>
        <w:spacing w:before="73" w:line="198" w:lineRule="exact"/>
        <w:ind w:right="5987"/>
        <w:rPr>
          <w:rFonts w:ascii="Arial"/>
        </w:rPr>
      </w:pPr>
      <w:r>
        <w:rPr>
          <w:rFonts w:ascii="Arial"/>
        </w:rPr>
        <w:t>Joy Mukherjee (CPM, CPMM, FIA, MBA), Saama</w:t>
      </w:r>
    </w:p>
    <w:p w14:paraId="7C673148" w14:textId="77777777" w:rsidR="00AE3E37" w:rsidRDefault="00AE3E37">
      <w:pPr>
        <w:pStyle w:val="BodyText"/>
        <w:rPr>
          <w:rFonts w:ascii="Arial"/>
          <w:sz w:val="20"/>
        </w:rPr>
      </w:pPr>
    </w:p>
    <w:p w14:paraId="1DDA81EE"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62B75B27"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0C236DDA" w14:textId="72D8CDF4" w:rsidR="000F49F0" w:rsidRDefault="000F49F0">
      <w:pPr>
        <w:pStyle w:val="Heading3"/>
        <w:spacing w:before="74"/>
        <w:rPr>
          <w:rFonts w:ascii="Tw Cen MT" w:eastAsia="Tw Cen MT" w:hAnsi="Tw Cen MT" w:cs="Tw Cen MT"/>
          <w:b w:val="0"/>
          <w:bCs w:val="0"/>
          <w:sz w:val="18"/>
          <w:szCs w:val="18"/>
        </w:rPr>
      </w:pPr>
      <w:r w:rsidRPr="000F49F0">
        <w:rPr>
          <w:rFonts w:ascii="Tw Cen MT" w:eastAsia="Tw Cen MT" w:hAnsi="Tw Cen MT" w:cs="Tw Cen MT"/>
          <w:b w:val="0"/>
          <w:bCs w:val="0"/>
          <w:sz w:val="18"/>
          <w:szCs w:val="18"/>
        </w:rPr>
        <w:t xml:space="preserve">Democratization of data by making it available to non-data specialists – such as marketers, sales, </w:t>
      </w:r>
      <w:r w:rsidR="0091388F">
        <w:rPr>
          <w:rFonts w:ascii="Tw Cen MT" w:eastAsia="Tw Cen MT" w:hAnsi="Tw Cen MT" w:cs="Tw Cen MT"/>
          <w:b w:val="0"/>
          <w:bCs w:val="0"/>
          <w:sz w:val="18"/>
          <w:szCs w:val="18"/>
        </w:rPr>
        <w:t>and s</w:t>
      </w:r>
      <w:r w:rsidRPr="000F49F0">
        <w:rPr>
          <w:rFonts w:ascii="Tw Cen MT" w:eastAsia="Tw Cen MT" w:hAnsi="Tw Cen MT" w:cs="Tw Cen MT"/>
          <w:b w:val="0"/>
          <w:bCs w:val="0"/>
          <w:sz w:val="18"/>
          <w:szCs w:val="18"/>
        </w:rPr>
        <w:t xml:space="preserve">upply chain professionals – helps teams obtain value-adding insight and deliver better business outcomes. The issue arises when a user has a potential intent to de-anonymize such data and identify sensitive, even PII data with high certainty. By implementing intent-driven governance modern data solutions can allow all stakeholders to enjoy the democratization and Assetization of data. An AI/ML-based intent-driven governance solution can scale to billions of events, it can ‘recognize’ new, unseen patterns, and it can make correct judgments reliably and repeatedly. </w:t>
      </w:r>
    </w:p>
    <w:p w14:paraId="63563CAA" w14:textId="092E593F" w:rsidR="000F49F0" w:rsidRPr="000F49F0" w:rsidRDefault="000F49F0" w:rsidP="000F49F0">
      <w:pPr>
        <w:pStyle w:val="Heading3"/>
        <w:spacing w:before="74"/>
        <w:rPr>
          <w:rFonts w:ascii="Tw Cen MT" w:eastAsia="Tw Cen MT" w:hAnsi="Tw Cen MT" w:cs="Tw Cen MT"/>
          <w:b w:val="0"/>
          <w:bCs w:val="0"/>
          <w:sz w:val="18"/>
          <w:szCs w:val="18"/>
        </w:rPr>
      </w:pPr>
      <w:r w:rsidRPr="000F49F0">
        <w:rPr>
          <w:rFonts w:ascii="Tw Cen MT" w:eastAsia="Tw Cen MT" w:hAnsi="Tw Cen MT" w:cs="Tw Cen MT"/>
          <w:b w:val="0"/>
          <w:bCs w:val="0"/>
          <w:sz w:val="18"/>
          <w:szCs w:val="18"/>
        </w:rPr>
        <w:t>An AI-based intent-driven governance solution can scale to billions of events, it can ‘recognize’ new, unseen patterns, and it can make correct judgments reliably and repeatedly.</w:t>
      </w:r>
      <w:r w:rsidRPr="000F49F0">
        <w:t xml:space="preserve"> </w:t>
      </w:r>
      <w:r w:rsidRPr="000F49F0">
        <w:rPr>
          <w:rFonts w:ascii="Tw Cen MT" w:eastAsia="Tw Cen MT" w:hAnsi="Tw Cen MT" w:cs="Tw Cen MT"/>
          <w:b w:val="0"/>
          <w:bCs w:val="0"/>
          <w:sz w:val="18"/>
          <w:szCs w:val="18"/>
        </w:rPr>
        <w:t>At it’s core such a model can provide three levels of filter to the query outputs:</w:t>
      </w:r>
    </w:p>
    <w:p w14:paraId="7E6227B0" w14:textId="46E0605E" w:rsidR="000F49F0" w:rsidRPr="000F49F0" w:rsidRDefault="000F49F0" w:rsidP="0091388F">
      <w:pPr>
        <w:pStyle w:val="Heading3"/>
        <w:numPr>
          <w:ilvl w:val="0"/>
          <w:numId w:val="5"/>
        </w:numPr>
        <w:spacing w:before="74"/>
        <w:rPr>
          <w:rFonts w:ascii="Tw Cen MT" w:eastAsia="Tw Cen MT" w:hAnsi="Tw Cen MT" w:cs="Tw Cen MT"/>
          <w:b w:val="0"/>
          <w:bCs w:val="0"/>
          <w:sz w:val="18"/>
          <w:szCs w:val="18"/>
        </w:rPr>
      </w:pPr>
      <w:r w:rsidRPr="000F49F0">
        <w:rPr>
          <w:rFonts w:ascii="Tw Cen MT" w:eastAsia="Tw Cen MT" w:hAnsi="Tw Cen MT" w:cs="Tw Cen MT"/>
          <w:b w:val="0"/>
          <w:bCs w:val="0"/>
          <w:sz w:val="18"/>
          <w:szCs w:val="18"/>
        </w:rPr>
        <w:t>For ‘benign intent’ the result or insights are cleared for being returned to the user</w:t>
      </w:r>
    </w:p>
    <w:p w14:paraId="1699744A" w14:textId="70D7F470" w:rsidR="000F49F0" w:rsidRPr="000F49F0" w:rsidRDefault="000F49F0" w:rsidP="0091388F">
      <w:pPr>
        <w:pStyle w:val="Heading3"/>
        <w:numPr>
          <w:ilvl w:val="0"/>
          <w:numId w:val="5"/>
        </w:numPr>
        <w:spacing w:before="74"/>
        <w:rPr>
          <w:rFonts w:ascii="Tw Cen MT" w:eastAsia="Tw Cen MT" w:hAnsi="Tw Cen MT" w:cs="Tw Cen MT"/>
          <w:b w:val="0"/>
          <w:bCs w:val="0"/>
          <w:sz w:val="18"/>
          <w:szCs w:val="18"/>
        </w:rPr>
      </w:pPr>
      <w:r w:rsidRPr="000F49F0">
        <w:rPr>
          <w:rFonts w:ascii="Tw Cen MT" w:eastAsia="Tw Cen MT" w:hAnsi="Tw Cen MT" w:cs="Tw Cen MT"/>
          <w:b w:val="0"/>
          <w:bCs w:val="0"/>
          <w:sz w:val="18"/>
          <w:szCs w:val="18"/>
        </w:rPr>
        <w:t xml:space="preserve">Where there is room for doubt, as defined by the model threshold values, certain query data attribute values be masked or shifted by enough synthetic noise to defeat de-anonymization attempts. Apple has taken this approach forward to a great extent with Differential Privacy  </w:t>
      </w:r>
    </w:p>
    <w:p w14:paraId="180EFD59" w14:textId="27C95BF5" w:rsidR="000F49F0" w:rsidRPr="000F49F0" w:rsidRDefault="000F49F0" w:rsidP="0091388F">
      <w:pPr>
        <w:pStyle w:val="Heading3"/>
        <w:numPr>
          <w:ilvl w:val="0"/>
          <w:numId w:val="5"/>
        </w:numPr>
        <w:spacing w:before="74"/>
        <w:rPr>
          <w:rFonts w:ascii="Tw Cen MT" w:eastAsia="Tw Cen MT" w:hAnsi="Tw Cen MT" w:cs="Tw Cen MT"/>
          <w:b w:val="0"/>
          <w:bCs w:val="0"/>
          <w:sz w:val="18"/>
          <w:szCs w:val="18"/>
        </w:rPr>
      </w:pPr>
      <w:r w:rsidRPr="000F49F0">
        <w:rPr>
          <w:rFonts w:ascii="Tw Cen MT" w:eastAsia="Tw Cen MT" w:hAnsi="Tw Cen MT" w:cs="Tw Cen MT"/>
          <w:b w:val="0"/>
          <w:bCs w:val="0"/>
          <w:sz w:val="18"/>
          <w:szCs w:val="18"/>
        </w:rPr>
        <w:t>For queries that are flagged as positive or ‘malicious intent’ the response is blocked, and data stewards are alerted for review and action. The results are further incorporated into the active learning of the intent governance models.</w:t>
      </w:r>
    </w:p>
    <w:p w14:paraId="50AA5AF0" w14:textId="1219F73B" w:rsidR="000F49F0" w:rsidRDefault="000F49F0" w:rsidP="000F49F0">
      <w:pPr>
        <w:pStyle w:val="Heading3"/>
        <w:spacing w:before="74"/>
        <w:rPr>
          <w:rFonts w:ascii="Tw Cen MT" w:eastAsia="Tw Cen MT" w:hAnsi="Tw Cen MT" w:cs="Tw Cen MT"/>
          <w:b w:val="0"/>
          <w:bCs w:val="0"/>
          <w:sz w:val="18"/>
          <w:szCs w:val="18"/>
        </w:rPr>
      </w:pPr>
      <w:r w:rsidRPr="000F49F0">
        <w:rPr>
          <w:rFonts w:ascii="Tw Cen MT" w:eastAsia="Tw Cen MT" w:hAnsi="Tw Cen MT" w:cs="Tw Cen MT"/>
          <w:b w:val="0"/>
          <w:bCs w:val="0"/>
          <w:sz w:val="18"/>
          <w:szCs w:val="18"/>
        </w:rPr>
        <w:t>Other than PII, fraud detection and prevention is another area of intent-based data security and governance. AI-ML-based approaches show better precision and recall while learning intent from attack vectors, going further than the protection of 2-factor authentication. It is not only about access, but patterns and intent – with intelligent verifications and alerts factored in based on volume, value, location, product, and many other transactional factors.</w:t>
      </w:r>
    </w:p>
    <w:p w14:paraId="018AE04D" w14:textId="4639F234" w:rsidR="00AE3E37" w:rsidRDefault="00A9710C">
      <w:pPr>
        <w:pStyle w:val="Heading3"/>
        <w:spacing w:before="74"/>
      </w:pPr>
      <w:r>
        <w:rPr>
          <w:b w:val="0"/>
        </w:rPr>
        <w:br w:type="column"/>
      </w:r>
      <w:r>
        <w:rPr>
          <w:color w:val="BF5A14"/>
        </w:rPr>
        <w:lastRenderedPageBreak/>
        <w:t>Image</w:t>
      </w:r>
    </w:p>
    <w:tbl>
      <w:tblPr>
        <w:tblW w:w="0" w:type="auto"/>
        <w:tblCellMar>
          <w:top w:w="15" w:type="dxa"/>
          <w:left w:w="15" w:type="dxa"/>
          <w:bottom w:w="15" w:type="dxa"/>
          <w:right w:w="15" w:type="dxa"/>
        </w:tblCellMar>
        <w:tblLook w:val="04A0" w:firstRow="1" w:lastRow="0" w:firstColumn="1" w:lastColumn="0" w:noHBand="0" w:noVBand="1"/>
      </w:tblPr>
      <w:tblGrid>
        <w:gridCol w:w="527"/>
        <w:gridCol w:w="836"/>
        <w:gridCol w:w="682"/>
        <w:gridCol w:w="463"/>
        <w:gridCol w:w="827"/>
        <w:gridCol w:w="713"/>
        <w:gridCol w:w="803"/>
        <w:gridCol w:w="717"/>
      </w:tblGrid>
      <w:tr w:rsidR="009E4B0C" w:rsidRPr="00717A0B" w14:paraId="008662E6" w14:textId="77777777" w:rsidTr="000E413C">
        <w:trPr>
          <w:trHeight w:val="288"/>
        </w:trPr>
        <w:tc>
          <w:tcPr>
            <w:tcW w:w="0" w:type="auto"/>
            <w:gridSpan w:val="2"/>
            <w:tcBorders>
              <w:top w:val="single" w:sz="4" w:space="0" w:color="000000"/>
              <w:left w:val="single" w:sz="4" w:space="0" w:color="000000"/>
              <w:bottom w:val="single" w:sz="4" w:space="0" w:color="000000"/>
              <w:right w:val="single" w:sz="4" w:space="0" w:color="000000"/>
            </w:tcBorders>
            <w:shd w:val="clear" w:color="auto" w:fill="FF0000"/>
            <w:tcMar>
              <w:top w:w="0" w:type="dxa"/>
              <w:left w:w="115" w:type="dxa"/>
              <w:bottom w:w="0" w:type="dxa"/>
              <w:right w:w="115" w:type="dxa"/>
            </w:tcMar>
            <w:vAlign w:val="center"/>
            <w:hideMark/>
          </w:tcPr>
          <w:p w14:paraId="030EA745" w14:textId="77777777" w:rsidR="009E4B0C" w:rsidRPr="00717A0B" w:rsidRDefault="009E4B0C" w:rsidP="000E413C">
            <w:pPr>
              <w:jc w:val="center"/>
              <w:rPr>
                <w:lang w:eastAsia="en-IN"/>
              </w:rPr>
            </w:pPr>
            <w:r w:rsidRPr="00717A0B">
              <w:rPr>
                <w:rFonts w:ascii="Calibri" w:hAnsi="Calibri" w:cs="Calibri"/>
                <w:b/>
                <w:bCs/>
                <w:color w:val="000000"/>
                <w:lang w:eastAsia="en-IN"/>
              </w:rPr>
              <w:t>PII</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ED7D31"/>
            <w:tcMar>
              <w:top w:w="0" w:type="dxa"/>
              <w:left w:w="115" w:type="dxa"/>
              <w:bottom w:w="0" w:type="dxa"/>
              <w:right w:w="115" w:type="dxa"/>
            </w:tcMar>
            <w:vAlign w:val="center"/>
            <w:hideMark/>
          </w:tcPr>
          <w:p w14:paraId="6433A20F" w14:textId="77777777" w:rsidR="009E4B0C" w:rsidRPr="00717A0B" w:rsidRDefault="009E4B0C" w:rsidP="000E413C">
            <w:pPr>
              <w:jc w:val="center"/>
              <w:rPr>
                <w:lang w:eastAsia="en-IN"/>
              </w:rPr>
            </w:pPr>
            <w:r w:rsidRPr="00717A0B">
              <w:rPr>
                <w:rFonts w:ascii="Calibri" w:hAnsi="Calibri" w:cs="Calibri"/>
                <w:b/>
                <w:bCs/>
                <w:color w:val="000000"/>
                <w:lang w:eastAsia="en-IN"/>
              </w:rPr>
              <w:t>Quasi-Identifiers</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FFC000"/>
            <w:tcMar>
              <w:top w:w="0" w:type="dxa"/>
              <w:left w:w="115" w:type="dxa"/>
              <w:bottom w:w="0" w:type="dxa"/>
              <w:right w:w="115" w:type="dxa"/>
            </w:tcMar>
            <w:vAlign w:val="center"/>
            <w:hideMark/>
          </w:tcPr>
          <w:p w14:paraId="2BDD08CC" w14:textId="77777777" w:rsidR="009E4B0C" w:rsidRPr="00717A0B" w:rsidRDefault="009E4B0C" w:rsidP="000E413C">
            <w:pPr>
              <w:jc w:val="center"/>
              <w:rPr>
                <w:lang w:eastAsia="en-IN"/>
              </w:rPr>
            </w:pPr>
            <w:r w:rsidRPr="00717A0B">
              <w:rPr>
                <w:rFonts w:ascii="Calibri" w:hAnsi="Calibri" w:cs="Calibri"/>
                <w:b/>
                <w:bCs/>
                <w:color w:val="000000"/>
                <w:lang w:eastAsia="en-IN"/>
              </w:rPr>
              <w:t>Sensitive</w:t>
            </w:r>
          </w:p>
        </w:tc>
        <w:tc>
          <w:tcPr>
            <w:tcW w:w="0" w:type="auto"/>
            <w:tcBorders>
              <w:top w:val="single" w:sz="4" w:space="0" w:color="000000"/>
              <w:left w:val="single" w:sz="4" w:space="0" w:color="000000"/>
              <w:bottom w:val="single" w:sz="4" w:space="0" w:color="000000"/>
              <w:right w:val="single" w:sz="4" w:space="0" w:color="000000"/>
            </w:tcBorders>
            <w:shd w:val="clear" w:color="auto" w:fill="B4C6E7"/>
            <w:tcMar>
              <w:top w:w="0" w:type="dxa"/>
              <w:left w:w="115" w:type="dxa"/>
              <w:bottom w:w="0" w:type="dxa"/>
              <w:right w:w="115" w:type="dxa"/>
            </w:tcMar>
            <w:vAlign w:val="center"/>
            <w:hideMark/>
          </w:tcPr>
          <w:p w14:paraId="59A74171" w14:textId="77777777" w:rsidR="009E4B0C" w:rsidRPr="00717A0B" w:rsidRDefault="009E4B0C" w:rsidP="000E413C">
            <w:pPr>
              <w:jc w:val="center"/>
              <w:rPr>
                <w:lang w:eastAsia="en-IN"/>
              </w:rPr>
            </w:pPr>
            <w:r w:rsidRPr="00717A0B">
              <w:rPr>
                <w:rFonts w:ascii="Calibri" w:hAnsi="Calibri" w:cs="Calibri"/>
                <w:b/>
                <w:bCs/>
                <w:color w:val="000000"/>
                <w:lang w:eastAsia="en-IN"/>
              </w:rPr>
              <w:t>Public</w:t>
            </w:r>
          </w:p>
        </w:tc>
      </w:tr>
      <w:tr w:rsidR="009E4B0C" w:rsidRPr="00717A0B" w14:paraId="4118599F" w14:textId="77777777" w:rsidTr="000E413C">
        <w:trPr>
          <w:trHeight w:val="288"/>
        </w:trPr>
        <w:tc>
          <w:tcPr>
            <w:tcW w:w="0" w:type="auto"/>
            <w:tcBorders>
              <w:top w:val="single" w:sz="4" w:space="0" w:color="000000"/>
              <w:left w:val="single" w:sz="4" w:space="0" w:color="000000"/>
              <w:bottom w:val="single" w:sz="4" w:space="0" w:color="000000"/>
              <w:right w:val="single" w:sz="4" w:space="0" w:color="000000"/>
            </w:tcBorders>
            <w:shd w:val="clear" w:color="auto" w:fill="E7E6E6"/>
            <w:tcMar>
              <w:top w:w="0" w:type="dxa"/>
              <w:left w:w="115" w:type="dxa"/>
              <w:bottom w:w="0" w:type="dxa"/>
              <w:right w:w="115" w:type="dxa"/>
            </w:tcMar>
            <w:vAlign w:val="bottom"/>
            <w:hideMark/>
          </w:tcPr>
          <w:p w14:paraId="3E8CB2AC" w14:textId="77777777" w:rsidR="009E4B0C" w:rsidRPr="00717A0B" w:rsidRDefault="009E4B0C" w:rsidP="000E413C">
            <w:pPr>
              <w:rPr>
                <w:lang w:eastAsia="en-IN"/>
              </w:rPr>
            </w:pPr>
            <w:r w:rsidRPr="00717A0B">
              <w:rPr>
                <w:rFonts w:ascii="Calibri" w:hAnsi="Calibri" w:cs="Calibri"/>
                <w:b/>
                <w:bCs/>
                <w:color w:val="000000"/>
                <w:lang w:eastAsia="en-IN"/>
              </w:rPr>
              <w:t>SSN</w:t>
            </w:r>
          </w:p>
        </w:tc>
        <w:tc>
          <w:tcPr>
            <w:tcW w:w="0" w:type="auto"/>
            <w:tcBorders>
              <w:top w:val="single" w:sz="4" w:space="0" w:color="000000"/>
              <w:left w:val="single" w:sz="4" w:space="0" w:color="000000"/>
              <w:bottom w:val="single" w:sz="4" w:space="0" w:color="000000"/>
              <w:right w:val="single" w:sz="4" w:space="0" w:color="000000"/>
            </w:tcBorders>
            <w:shd w:val="clear" w:color="auto" w:fill="E7E6E6"/>
            <w:tcMar>
              <w:top w:w="0" w:type="dxa"/>
              <w:left w:w="115" w:type="dxa"/>
              <w:bottom w:w="0" w:type="dxa"/>
              <w:right w:w="115" w:type="dxa"/>
            </w:tcMar>
            <w:vAlign w:val="bottom"/>
            <w:hideMark/>
          </w:tcPr>
          <w:p w14:paraId="36AF5544" w14:textId="77777777" w:rsidR="009E4B0C" w:rsidRPr="00717A0B" w:rsidRDefault="009E4B0C" w:rsidP="000E413C">
            <w:pPr>
              <w:rPr>
                <w:lang w:eastAsia="en-IN"/>
              </w:rPr>
            </w:pPr>
            <w:r w:rsidRPr="00717A0B">
              <w:rPr>
                <w:rFonts w:ascii="Calibri" w:hAnsi="Calibri" w:cs="Calibri"/>
                <w:b/>
                <w:bCs/>
                <w:color w:val="000000"/>
                <w:lang w:eastAsia="en-IN"/>
              </w:rPr>
              <w:t>Driver’s License</w:t>
            </w:r>
          </w:p>
        </w:tc>
        <w:tc>
          <w:tcPr>
            <w:tcW w:w="0" w:type="auto"/>
            <w:tcBorders>
              <w:top w:val="single" w:sz="4" w:space="0" w:color="000000"/>
              <w:left w:val="single" w:sz="4" w:space="0" w:color="000000"/>
              <w:bottom w:val="single" w:sz="4" w:space="0" w:color="000000"/>
              <w:right w:val="single" w:sz="4" w:space="0" w:color="000000"/>
            </w:tcBorders>
            <w:shd w:val="clear" w:color="auto" w:fill="E7E6E6"/>
            <w:tcMar>
              <w:top w:w="0" w:type="dxa"/>
              <w:left w:w="115" w:type="dxa"/>
              <w:bottom w:w="0" w:type="dxa"/>
              <w:right w:w="115" w:type="dxa"/>
            </w:tcMar>
            <w:vAlign w:val="bottom"/>
            <w:hideMark/>
          </w:tcPr>
          <w:p w14:paraId="7F66DC67" w14:textId="77777777" w:rsidR="009E4B0C" w:rsidRPr="00717A0B" w:rsidRDefault="009E4B0C" w:rsidP="000E413C">
            <w:pPr>
              <w:rPr>
                <w:lang w:eastAsia="en-IN"/>
              </w:rPr>
            </w:pPr>
            <w:r w:rsidRPr="00717A0B">
              <w:rPr>
                <w:rFonts w:ascii="Calibri" w:hAnsi="Calibri" w:cs="Calibri"/>
                <w:b/>
                <w:bCs/>
                <w:color w:val="000000"/>
                <w:lang w:eastAsia="en-IN"/>
              </w:rPr>
              <w:t>Gender</w:t>
            </w:r>
          </w:p>
        </w:tc>
        <w:tc>
          <w:tcPr>
            <w:tcW w:w="0" w:type="auto"/>
            <w:tcBorders>
              <w:top w:val="single" w:sz="4" w:space="0" w:color="000000"/>
              <w:left w:val="single" w:sz="4" w:space="0" w:color="000000"/>
              <w:bottom w:val="single" w:sz="4" w:space="0" w:color="000000"/>
              <w:right w:val="single" w:sz="4" w:space="0" w:color="000000"/>
            </w:tcBorders>
            <w:shd w:val="clear" w:color="auto" w:fill="E7E6E6"/>
            <w:tcMar>
              <w:top w:w="0" w:type="dxa"/>
              <w:left w:w="115" w:type="dxa"/>
              <w:bottom w:w="0" w:type="dxa"/>
              <w:right w:w="115" w:type="dxa"/>
            </w:tcMar>
            <w:vAlign w:val="bottom"/>
            <w:hideMark/>
          </w:tcPr>
          <w:p w14:paraId="28225F4B" w14:textId="77777777" w:rsidR="009E4B0C" w:rsidRPr="00717A0B" w:rsidRDefault="009E4B0C" w:rsidP="000E413C">
            <w:pPr>
              <w:rPr>
                <w:lang w:eastAsia="en-IN"/>
              </w:rPr>
            </w:pPr>
            <w:r w:rsidRPr="00717A0B">
              <w:rPr>
                <w:rFonts w:ascii="Calibri" w:hAnsi="Calibri" w:cs="Calibri"/>
                <w:b/>
                <w:bCs/>
                <w:color w:val="000000"/>
                <w:lang w:eastAsia="en-IN"/>
              </w:rPr>
              <w:t>Age</w:t>
            </w:r>
          </w:p>
        </w:tc>
        <w:tc>
          <w:tcPr>
            <w:tcW w:w="0" w:type="auto"/>
            <w:tcBorders>
              <w:top w:val="single" w:sz="4" w:space="0" w:color="000000"/>
              <w:left w:val="single" w:sz="4" w:space="0" w:color="000000"/>
              <w:bottom w:val="single" w:sz="4" w:space="0" w:color="000000"/>
              <w:right w:val="single" w:sz="4" w:space="0" w:color="000000"/>
            </w:tcBorders>
            <w:shd w:val="clear" w:color="auto" w:fill="E7E6E6"/>
            <w:tcMar>
              <w:top w:w="0" w:type="dxa"/>
              <w:left w:w="115" w:type="dxa"/>
              <w:bottom w:w="0" w:type="dxa"/>
              <w:right w:w="115" w:type="dxa"/>
            </w:tcMar>
            <w:vAlign w:val="bottom"/>
            <w:hideMark/>
          </w:tcPr>
          <w:p w14:paraId="49AE8E19" w14:textId="77777777" w:rsidR="009E4B0C" w:rsidRPr="00717A0B" w:rsidRDefault="009E4B0C" w:rsidP="000E413C">
            <w:pPr>
              <w:rPr>
                <w:lang w:eastAsia="en-IN"/>
              </w:rPr>
            </w:pPr>
            <w:r w:rsidRPr="00717A0B">
              <w:rPr>
                <w:rFonts w:ascii="Calibri" w:hAnsi="Calibri" w:cs="Calibri"/>
                <w:b/>
                <w:bCs/>
                <w:color w:val="000000"/>
                <w:lang w:eastAsia="en-IN"/>
              </w:rPr>
              <w:t>Ethnicity</w:t>
            </w:r>
          </w:p>
        </w:tc>
        <w:tc>
          <w:tcPr>
            <w:tcW w:w="0" w:type="auto"/>
            <w:tcBorders>
              <w:top w:val="single" w:sz="4" w:space="0" w:color="000000"/>
              <w:left w:val="single" w:sz="4" w:space="0" w:color="000000"/>
              <w:bottom w:val="single" w:sz="4" w:space="0" w:color="000000"/>
              <w:right w:val="single" w:sz="4" w:space="0" w:color="000000"/>
            </w:tcBorders>
            <w:shd w:val="clear" w:color="auto" w:fill="E7E6E6"/>
            <w:tcMar>
              <w:top w:w="0" w:type="dxa"/>
              <w:left w:w="115" w:type="dxa"/>
              <w:bottom w:w="0" w:type="dxa"/>
              <w:right w:w="115" w:type="dxa"/>
            </w:tcMar>
            <w:vAlign w:val="bottom"/>
            <w:hideMark/>
          </w:tcPr>
          <w:p w14:paraId="488E245B" w14:textId="77777777" w:rsidR="009E4B0C" w:rsidRPr="00717A0B" w:rsidRDefault="009E4B0C" w:rsidP="000E413C">
            <w:pPr>
              <w:rPr>
                <w:lang w:eastAsia="en-IN"/>
              </w:rPr>
            </w:pPr>
            <w:r w:rsidRPr="00717A0B">
              <w:rPr>
                <w:rFonts w:ascii="Calibri" w:hAnsi="Calibri" w:cs="Calibri"/>
                <w:b/>
                <w:bCs/>
                <w:color w:val="000000"/>
                <w:lang w:eastAsia="en-IN"/>
              </w:rPr>
              <w:t>Annual Income</w:t>
            </w:r>
          </w:p>
        </w:tc>
        <w:tc>
          <w:tcPr>
            <w:tcW w:w="0" w:type="auto"/>
            <w:tcBorders>
              <w:top w:val="single" w:sz="4" w:space="0" w:color="000000"/>
              <w:left w:val="single" w:sz="4" w:space="0" w:color="000000"/>
              <w:bottom w:val="single" w:sz="4" w:space="0" w:color="000000"/>
              <w:right w:val="single" w:sz="4" w:space="0" w:color="000000"/>
            </w:tcBorders>
            <w:shd w:val="clear" w:color="auto" w:fill="E7E6E6"/>
            <w:tcMar>
              <w:top w:w="0" w:type="dxa"/>
              <w:left w:w="115" w:type="dxa"/>
              <w:bottom w:w="0" w:type="dxa"/>
              <w:right w:w="115" w:type="dxa"/>
            </w:tcMar>
            <w:vAlign w:val="bottom"/>
            <w:hideMark/>
          </w:tcPr>
          <w:p w14:paraId="101597A5" w14:textId="77777777" w:rsidR="009E4B0C" w:rsidRPr="00717A0B" w:rsidRDefault="009E4B0C" w:rsidP="000E413C">
            <w:pPr>
              <w:rPr>
                <w:lang w:eastAsia="en-IN"/>
              </w:rPr>
            </w:pPr>
            <w:r w:rsidRPr="00717A0B">
              <w:rPr>
                <w:rFonts w:ascii="Calibri" w:hAnsi="Calibri" w:cs="Calibri"/>
                <w:b/>
                <w:bCs/>
                <w:color w:val="000000"/>
                <w:lang w:eastAsia="en-IN"/>
              </w:rPr>
              <w:t>Disease</w:t>
            </w:r>
          </w:p>
        </w:tc>
        <w:tc>
          <w:tcPr>
            <w:tcW w:w="0" w:type="auto"/>
            <w:tcBorders>
              <w:top w:val="single" w:sz="4" w:space="0" w:color="000000"/>
              <w:left w:val="single" w:sz="4" w:space="0" w:color="000000"/>
              <w:bottom w:val="single" w:sz="4" w:space="0" w:color="000000"/>
              <w:right w:val="single" w:sz="4" w:space="0" w:color="000000"/>
            </w:tcBorders>
            <w:shd w:val="clear" w:color="auto" w:fill="E7E6E6"/>
            <w:tcMar>
              <w:top w:w="0" w:type="dxa"/>
              <w:left w:w="115" w:type="dxa"/>
              <w:bottom w:w="0" w:type="dxa"/>
              <w:right w:w="115" w:type="dxa"/>
            </w:tcMar>
            <w:vAlign w:val="bottom"/>
            <w:hideMark/>
          </w:tcPr>
          <w:p w14:paraId="27674D97" w14:textId="77777777" w:rsidR="009E4B0C" w:rsidRPr="00717A0B" w:rsidRDefault="009E4B0C" w:rsidP="000E413C">
            <w:pPr>
              <w:rPr>
                <w:lang w:eastAsia="en-IN"/>
              </w:rPr>
            </w:pPr>
            <w:r w:rsidRPr="00717A0B">
              <w:rPr>
                <w:rFonts w:ascii="Calibri" w:hAnsi="Calibri" w:cs="Calibri"/>
                <w:b/>
                <w:bCs/>
                <w:color w:val="000000"/>
                <w:lang w:eastAsia="en-IN"/>
              </w:rPr>
              <w:t>Country</w:t>
            </w:r>
          </w:p>
        </w:tc>
      </w:tr>
      <w:tr w:rsidR="009E4B0C" w:rsidRPr="00717A0B" w14:paraId="004A3874" w14:textId="77777777" w:rsidTr="000E413C">
        <w:trPr>
          <w:trHeight w:val="28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E32F257" w14:textId="77777777" w:rsidR="009E4B0C" w:rsidRPr="00717A0B" w:rsidRDefault="009E4B0C" w:rsidP="000E413C">
            <w:pPr>
              <w:rPr>
                <w:lang w:eastAsia="en-IN"/>
              </w:rPr>
            </w:pPr>
            <w:r w:rsidRPr="00717A0B">
              <w:rPr>
                <w:rFonts w:ascii="Calibri" w:hAnsi="Calibri" w:cs="Calibri"/>
                <w:color w:val="000000"/>
                <w:lang w:eastAsia="en-IN"/>
              </w:rPr>
              <w:t>900-00-8148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387DBAE" w14:textId="77777777" w:rsidR="009E4B0C" w:rsidRPr="00717A0B" w:rsidRDefault="009E4B0C" w:rsidP="000E413C">
            <w:pPr>
              <w:rPr>
                <w:lang w:eastAsia="en-IN"/>
              </w:rPr>
            </w:pPr>
            <w:r w:rsidRPr="00717A0B">
              <w:rPr>
                <w:rFonts w:ascii="Calibri" w:hAnsi="Calibri" w:cs="Calibri"/>
                <w:color w:val="000000"/>
                <w:lang w:eastAsia="en-IN"/>
              </w:rPr>
              <w:t>A1000001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E038783" w14:textId="77777777" w:rsidR="009E4B0C" w:rsidRPr="00717A0B" w:rsidRDefault="009E4B0C" w:rsidP="000E413C">
            <w:pPr>
              <w:rPr>
                <w:lang w:eastAsia="en-IN"/>
              </w:rPr>
            </w:pPr>
            <w:r w:rsidRPr="00717A0B">
              <w:rPr>
                <w:rFonts w:ascii="Calibri" w:hAnsi="Calibri" w:cs="Calibri"/>
                <w:color w:val="000000"/>
                <w:lang w:eastAsia="en-IN"/>
              </w:rPr>
              <w:t>F</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8729C9C" w14:textId="77777777" w:rsidR="009E4B0C" w:rsidRPr="00717A0B" w:rsidRDefault="009E4B0C" w:rsidP="000E413C">
            <w:pPr>
              <w:jc w:val="right"/>
              <w:rPr>
                <w:lang w:eastAsia="en-IN"/>
              </w:rPr>
            </w:pPr>
            <w:r w:rsidRPr="00717A0B">
              <w:rPr>
                <w:rFonts w:ascii="Calibri" w:hAnsi="Calibri" w:cs="Calibri"/>
                <w:color w:val="000000"/>
                <w:lang w:eastAsia="en-IN"/>
              </w:rPr>
              <w:t>32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FEED56C" w14:textId="77777777" w:rsidR="009E4B0C" w:rsidRPr="00717A0B" w:rsidRDefault="009E4B0C" w:rsidP="000E413C">
            <w:pPr>
              <w:rPr>
                <w:lang w:eastAsia="en-IN"/>
              </w:rPr>
            </w:pPr>
            <w:r w:rsidRPr="00717A0B">
              <w:rPr>
                <w:rFonts w:ascii="Calibri" w:hAnsi="Calibri" w:cs="Calibri"/>
                <w:color w:val="000000"/>
                <w:lang w:eastAsia="en-IN"/>
              </w:rPr>
              <w:t>Caucasian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87E9EC0" w14:textId="77777777" w:rsidR="009E4B0C" w:rsidRPr="00717A0B" w:rsidRDefault="009E4B0C" w:rsidP="000E413C">
            <w:pPr>
              <w:jc w:val="right"/>
              <w:rPr>
                <w:lang w:eastAsia="en-IN"/>
              </w:rPr>
            </w:pPr>
            <w:r w:rsidRPr="00717A0B">
              <w:rPr>
                <w:rFonts w:ascii="Calibri" w:hAnsi="Calibri" w:cs="Calibri"/>
                <w:color w:val="000000"/>
                <w:lang w:eastAsia="en-IN"/>
              </w:rPr>
              <w:t>133,000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C9CF1CE" w14:textId="77777777" w:rsidR="009E4B0C" w:rsidRPr="00717A0B" w:rsidRDefault="009E4B0C" w:rsidP="000E413C">
            <w:pPr>
              <w:rPr>
                <w:lang w:eastAsia="en-IN"/>
              </w:rPr>
            </w:pPr>
            <w:r w:rsidRPr="00717A0B">
              <w:rPr>
                <w:rFonts w:ascii="Calibri" w:hAnsi="Calibri" w:cs="Calibri"/>
                <w:color w:val="000000"/>
                <w:lang w:eastAsia="en-IN"/>
              </w:rPr>
              <w:t>Leukemia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BF565AC" w14:textId="77777777" w:rsidR="009E4B0C" w:rsidRPr="00717A0B" w:rsidRDefault="009E4B0C" w:rsidP="000E413C">
            <w:pPr>
              <w:rPr>
                <w:lang w:eastAsia="en-IN"/>
              </w:rPr>
            </w:pPr>
            <w:r w:rsidRPr="00717A0B">
              <w:rPr>
                <w:rFonts w:ascii="Calibri" w:hAnsi="Calibri" w:cs="Calibri"/>
                <w:color w:val="000000"/>
                <w:lang w:eastAsia="en-IN"/>
              </w:rPr>
              <w:t>USA</w:t>
            </w:r>
          </w:p>
        </w:tc>
      </w:tr>
    </w:tbl>
    <w:p w14:paraId="47CB997A" w14:textId="5834287B" w:rsidR="00AE3E37" w:rsidRDefault="009E4B0C">
      <w:pPr>
        <w:pStyle w:val="BodyText"/>
        <w:spacing w:before="2"/>
        <w:rPr>
          <w:rFonts w:ascii="Arial"/>
          <w:b/>
          <w:sz w:val="16"/>
        </w:rPr>
      </w:pPr>
      <w:r>
        <w:rPr>
          <w:rFonts w:ascii="Arial"/>
          <w:b/>
          <w:sz w:val="16"/>
        </w:rPr>
        <w:t xml:space="preserve">Exhibit 1: A slice of varying data privacy elements in a record </w:t>
      </w:r>
    </w:p>
    <w:p w14:paraId="68CBBD4D"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B2A326C" w14:textId="33500D0F" w:rsidR="005973B9" w:rsidRDefault="009E4B0C" w:rsidP="005973B9">
      <w:pPr>
        <w:pStyle w:val="ListParagraph"/>
        <w:numPr>
          <w:ilvl w:val="0"/>
          <w:numId w:val="3"/>
        </w:numPr>
        <w:tabs>
          <w:tab w:val="left" w:pos="384"/>
        </w:tabs>
        <w:spacing w:before="103" w:line="216" w:lineRule="exact"/>
        <w:ind w:right="138" w:hanging="283"/>
        <w:rPr>
          <w:sz w:val="18"/>
        </w:rPr>
      </w:pPr>
      <w:r>
        <w:rPr>
          <w:sz w:val="18"/>
        </w:rPr>
        <w:t xml:space="preserve">Smart Contracts and application of AI - </w:t>
      </w:r>
      <w:r w:rsidR="00E63E2A">
        <w:rPr>
          <w:sz w:val="18"/>
        </w:rPr>
        <w:t>LinkedIn</w:t>
      </w:r>
    </w:p>
    <w:p w14:paraId="4CDD5850" w14:textId="1AB9783D" w:rsidR="005973B9" w:rsidRDefault="009E4B0C" w:rsidP="005973B9">
      <w:pPr>
        <w:pStyle w:val="ListParagraph"/>
        <w:numPr>
          <w:ilvl w:val="0"/>
          <w:numId w:val="3"/>
        </w:numPr>
        <w:tabs>
          <w:tab w:val="left" w:pos="384"/>
        </w:tabs>
        <w:spacing w:line="216" w:lineRule="exact"/>
        <w:ind w:right="137" w:hanging="283"/>
        <w:rPr>
          <w:sz w:val="18"/>
        </w:rPr>
      </w:pPr>
      <w:r>
        <w:rPr>
          <w:sz w:val="18"/>
        </w:rPr>
        <w:t xml:space="preserve">AI-ML </w:t>
      </w:r>
      <w:r w:rsidR="0030607F">
        <w:rPr>
          <w:sz w:val="18"/>
        </w:rPr>
        <w:t>application of data management in LIBOR - Bobsguide</w:t>
      </w:r>
    </w:p>
    <w:p w14:paraId="1E7309B8" w14:textId="43E2ED10" w:rsidR="0030607F" w:rsidRPr="0030607F" w:rsidRDefault="0030607F" w:rsidP="0030607F">
      <w:pPr>
        <w:pStyle w:val="ListParagraph"/>
        <w:numPr>
          <w:ilvl w:val="0"/>
          <w:numId w:val="3"/>
        </w:numPr>
        <w:tabs>
          <w:tab w:val="left" w:pos="384"/>
        </w:tabs>
        <w:spacing w:line="216" w:lineRule="exact"/>
        <w:ind w:right="138" w:hanging="283"/>
        <w:rPr>
          <w:sz w:val="18"/>
          <w:szCs w:val="18"/>
        </w:rPr>
      </w:pPr>
      <w:r>
        <w:rPr>
          <w:sz w:val="18"/>
        </w:rPr>
        <w:t xml:space="preserve">Strategy for </w:t>
      </w:r>
      <w:r w:rsidR="00E63E2A">
        <w:rPr>
          <w:sz w:val="18"/>
        </w:rPr>
        <w:t>Enterprise</w:t>
      </w:r>
      <w:r>
        <w:rPr>
          <w:sz w:val="18"/>
        </w:rPr>
        <w:t xml:space="preserve"> Data Management – Bobsguide</w:t>
      </w:r>
    </w:p>
    <w:p w14:paraId="0A36C7C0" w14:textId="4FFAE785" w:rsidR="005973B9" w:rsidRPr="0030607F" w:rsidRDefault="0030607F" w:rsidP="0030607F">
      <w:pPr>
        <w:pStyle w:val="ListParagraph"/>
        <w:numPr>
          <w:ilvl w:val="0"/>
          <w:numId w:val="3"/>
        </w:numPr>
        <w:tabs>
          <w:tab w:val="left" w:pos="384"/>
        </w:tabs>
        <w:spacing w:line="216" w:lineRule="exact"/>
        <w:ind w:right="138" w:hanging="283"/>
        <w:rPr>
          <w:sz w:val="18"/>
          <w:szCs w:val="18"/>
        </w:rPr>
      </w:pPr>
      <w:r w:rsidRPr="0030607F">
        <w:rPr>
          <w:sz w:val="18"/>
          <w:szCs w:val="18"/>
        </w:rPr>
        <w:t xml:space="preserve">Unlocking working capital - </w:t>
      </w:r>
      <w:r w:rsidR="00E63E2A" w:rsidRPr="0030607F">
        <w:rPr>
          <w:sz w:val="18"/>
          <w:szCs w:val="18"/>
        </w:rPr>
        <w:t>LinkedIn</w:t>
      </w:r>
    </w:p>
    <w:p w14:paraId="7299C499" w14:textId="0A97F37D"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30607F">
        <w:rPr>
          <w:rFonts w:ascii="Calibri" w:hAnsi="Calibri"/>
        </w:rPr>
        <w:t xml:space="preserve">  Brexit impact - Linkedin</w:t>
      </w:r>
    </w:p>
    <w:p w14:paraId="10181619" w14:textId="77777777" w:rsidR="00AE3E37" w:rsidRPr="008756E6" w:rsidRDefault="00AE3E37" w:rsidP="008756E6">
      <w:pPr>
        <w:tabs>
          <w:tab w:val="left" w:pos="384"/>
        </w:tabs>
        <w:ind w:right="117"/>
      </w:pPr>
    </w:p>
    <w:p w14:paraId="071481F2"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38C9D19E" w14:textId="77777777" w:rsidR="00AE3E37" w:rsidRDefault="00AE3E37">
      <w:pPr>
        <w:pStyle w:val="BodyText"/>
        <w:rPr>
          <w:rFonts w:ascii="Calibri"/>
          <w:sz w:val="20"/>
        </w:rPr>
      </w:pPr>
    </w:p>
    <w:p w14:paraId="317B76C9"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D6A3D99" wp14:editId="2FC9E48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9A772B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888D56F" w14:textId="77777777"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6F502577" wp14:editId="0FC70438">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32EDEDD" w14:textId="1671E962" w:rsidR="00A52075" w:rsidRDefault="00D73C70" w:rsidP="00A52075">
                            <w:pPr>
                              <w:rPr>
                                <w:b/>
                                <w:color w:val="0000FF"/>
                                <w:lang w:val="en-IN"/>
                              </w:rPr>
                            </w:pPr>
                            <w:r>
                              <w:rPr>
                                <w:noProof/>
                              </w:rPr>
                              <w:drawing>
                                <wp:inline distT="0" distB="0" distL="0" distR="0" wp14:anchorId="6E9CFAD2" wp14:editId="13658473">
                                  <wp:extent cx="741680" cy="329565"/>
                                  <wp:effectExtent l="0" t="0" r="1270" b="0"/>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1680" cy="32956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F502577"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232EDEDD" w14:textId="1671E962" w:rsidR="00A52075" w:rsidRDefault="00D73C70" w:rsidP="00A52075">
                      <w:pPr>
                        <w:rPr>
                          <w:b/>
                          <w:color w:val="0000FF"/>
                          <w:lang w:val="en-IN"/>
                        </w:rPr>
                      </w:pPr>
                      <w:r>
                        <w:rPr>
                          <w:noProof/>
                        </w:rPr>
                        <w:drawing>
                          <wp:inline distT="0" distB="0" distL="0" distR="0" wp14:anchorId="6E9CFAD2" wp14:editId="13658473">
                            <wp:extent cx="741680" cy="329565"/>
                            <wp:effectExtent l="0" t="0" r="1270" b="0"/>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1680" cy="329565"/>
                                    </a:xfrm>
                                    <a:prstGeom prst="rect">
                                      <a:avLst/>
                                    </a:prstGeom>
                                    <a:noFill/>
                                    <a:ln>
                                      <a:noFill/>
                                    </a:ln>
                                  </pic:spPr>
                                </pic:pic>
                              </a:graphicData>
                            </a:graphic>
                          </wp:inline>
                        </w:drawing>
                      </w:r>
                    </w:p>
                  </w:txbxContent>
                </v:textbox>
              </v:roundrect>
            </w:pict>
          </mc:Fallback>
        </mc:AlternateContent>
      </w:r>
      <w:r w:rsidR="008756E6">
        <w:rPr>
          <w:noProof/>
        </w:rPr>
        <w:t xml:space="preserve">              </w:t>
      </w:r>
      <w:r w:rsidR="008756E6">
        <w:rPr>
          <w:noProof/>
        </w:rPr>
        <w:drawing>
          <wp:inline distT="0" distB="0" distL="0" distR="0" wp14:anchorId="35917D9F" wp14:editId="298D0704">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14:paraId="6470EA0D" w14:textId="37ECAAAC" w:rsidR="00AE3E37" w:rsidRDefault="00D73C70">
      <w:pPr>
        <w:spacing w:before="41" w:line="154" w:lineRule="exact"/>
        <w:ind w:left="213" w:right="231"/>
        <w:jc w:val="both"/>
        <w:rPr>
          <w:rFonts w:ascii="Arial"/>
          <w:sz w:val="14"/>
        </w:rPr>
      </w:pPr>
      <w:r w:rsidRPr="00D73C70">
        <w:rPr>
          <w:rFonts w:ascii="Arial"/>
          <w:sz w:val="14"/>
        </w:rPr>
        <w:t>Joy Mukherjee has charted out strategic data &amp; analytics transformation roadmaps for multiple fortune 500 firms, advising and assisting them in realizing ambitious goals aligned with a data-driven organization. He heads the business consulting (data &amp; analytics) practice at Saama, the #1 company in AI solutions for clinical trials in the Life Sciences industry. An industry veteran of 22 years, he has published multiple white papers and holds advanced AI accreditation from MIT, an R&amp;D award from LMU Munich, MBA from SMU, and B.E. from IIES</w:t>
      </w:r>
      <w:r w:rsidR="00A9710C">
        <w:rPr>
          <w:rFonts w:ascii="Arial"/>
          <w:sz w:val="14"/>
        </w:rPr>
        <w:t>.</w:t>
      </w:r>
    </w:p>
    <w:p w14:paraId="5ACFCFAF" w14:textId="21158ABB" w:rsidR="00AE3E37" w:rsidRDefault="00A9710C">
      <w:pPr>
        <w:spacing w:before="62"/>
        <w:ind w:left="4217" w:right="4235"/>
        <w:jc w:val="center"/>
        <w:rPr>
          <w:rFonts w:ascii="Arial"/>
          <w:sz w:val="14"/>
        </w:rPr>
      </w:pPr>
      <w:r>
        <w:rPr>
          <w:rFonts w:ascii="Arial"/>
          <w:sz w:val="14"/>
        </w:rPr>
        <w:t xml:space="preserve">Email: </w:t>
      </w:r>
      <w:r w:rsidR="00D73C70" w:rsidRPr="00D73C70">
        <w:rPr>
          <w:sz w:val="20"/>
          <w:szCs w:val="20"/>
        </w:rPr>
        <w:t>joy.mukherjee@saama.com</w:t>
      </w:r>
    </w:p>
    <w:p w14:paraId="715F5A0B"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2252FE85" wp14:editId="64FAF48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77066D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5D8480DE" w14:textId="77777777" w:rsidR="00AE3E37" w:rsidRDefault="00AE3E37">
      <w:pPr>
        <w:pStyle w:val="BodyText"/>
        <w:spacing w:before="7"/>
        <w:rPr>
          <w:rFonts w:ascii="Arial"/>
          <w:sz w:val="29"/>
        </w:rPr>
      </w:pPr>
    </w:p>
    <w:p w14:paraId="3F50BBC9" w14:textId="77777777" w:rsidR="00AE3E37" w:rsidRDefault="00A9710C" w:rsidP="000534A1">
      <w:pPr>
        <w:spacing w:before="39"/>
        <w:ind w:left="100"/>
        <w:rPr>
          <w:rFonts w:ascii="Minion Pro"/>
          <w:b/>
          <w:sz w:val="20"/>
        </w:rPr>
      </w:pPr>
      <w:r w:rsidRPr="00B21A57">
        <w:rPr>
          <w:rFonts w:ascii="Minion Pro"/>
          <w:b/>
          <w:sz w:val="20"/>
        </w:rPr>
        <w:t>Notes/Comments:</w:t>
      </w:r>
    </w:p>
    <w:p w14:paraId="1740E085" w14:textId="77777777" w:rsidR="00EA7D51" w:rsidRDefault="00EA7D51" w:rsidP="000534A1">
      <w:pPr>
        <w:spacing w:before="39"/>
        <w:ind w:left="100"/>
        <w:rPr>
          <w:rFonts w:ascii="Minion Pro"/>
          <w:b/>
          <w:sz w:val="20"/>
        </w:rPr>
      </w:pPr>
    </w:p>
    <w:p w14:paraId="2EF20145" w14:textId="77777777" w:rsidR="00EA7D51" w:rsidRDefault="00EA7D51" w:rsidP="000534A1">
      <w:pPr>
        <w:spacing w:before="39"/>
        <w:ind w:left="100"/>
        <w:rPr>
          <w:rFonts w:ascii="Minion Pro"/>
          <w:b/>
          <w:sz w:val="20"/>
        </w:rPr>
      </w:pPr>
    </w:p>
    <w:p w14:paraId="15277B53" w14:textId="60B882F4"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D73C70">
        <w:rPr>
          <w:sz w:val="20"/>
          <w:szCs w:val="20"/>
          <w:lang w:val="en-NZ"/>
        </w:rPr>
        <w:t>Joy Mukherjee</w:t>
      </w:r>
      <w:r w:rsidRPr="00F35A62">
        <w:rPr>
          <w:sz w:val="20"/>
          <w:szCs w:val="20"/>
          <w:lang w:val="en-NZ"/>
        </w:rPr>
        <w:br/>
        <w:t>Contact number:</w:t>
      </w:r>
      <w:r w:rsidR="00D73C70">
        <w:rPr>
          <w:sz w:val="20"/>
          <w:szCs w:val="20"/>
          <w:lang w:val="en-NZ"/>
        </w:rPr>
        <w:t>+91 8329062354</w:t>
      </w:r>
      <w:r w:rsidRPr="00F35A62">
        <w:rPr>
          <w:sz w:val="20"/>
          <w:szCs w:val="20"/>
          <w:lang w:val="en-NZ"/>
        </w:rPr>
        <w:br/>
        <w:t>Twitter account:</w:t>
      </w:r>
      <w:r w:rsidRPr="00F35A62">
        <w:rPr>
          <w:sz w:val="20"/>
          <w:szCs w:val="20"/>
          <w:lang w:val="en-NZ"/>
        </w:rPr>
        <w:br/>
        <w:t>Linked In account:</w:t>
      </w:r>
      <w:r w:rsidR="00D73C70">
        <w:rPr>
          <w:sz w:val="20"/>
          <w:szCs w:val="20"/>
          <w:lang w:val="en-NZ"/>
        </w:rPr>
        <w:t xml:space="preserve"> </w:t>
      </w:r>
      <w:r w:rsidR="00D73C70" w:rsidRPr="00D73C70">
        <w:rPr>
          <w:sz w:val="20"/>
          <w:szCs w:val="20"/>
          <w:lang w:val="en-NZ"/>
        </w:rPr>
        <w:t>https://www.linkedin.com/in/joymukherjee1/</w:t>
      </w:r>
    </w:p>
    <w:p w14:paraId="36260DB6" w14:textId="77777777" w:rsidR="00EA7D51" w:rsidRDefault="00EA7D51" w:rsidP="00E63E2A">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 Poster presentation)</w:t>
      </w:r>
      <w:r w:rsidR="00E63E2A">
        <w:rPr>
          <w:sz w:val="20"/>
          <w:szCs w:val="20"/>
          <w:lang w:val="en-NZ"/>
        </w:rPr>
        <w:t>: Oral</w:t>
      </w:r>
    </w:p>
    <w:p w14:paraId="3928FF96" w14:textId="77777777" w:rsidR="00E63E2A" w:rsidRDefault="00E63E2A" w:rsidP="00E63E2A">
      <w:pPr>
        <w:autoSpaceDE w:val="0"/>
        <w:autoSpaceDN w:val="0"/>
        <w:adjustRightInd w:val="0"/>
        <w:rPr>
          <w:sz w:val="20"/>
          <w:szCs w:val="20"/>
          <w:lang w:val="en-NZ"/>
        </w:rPr>
      </w:pPr>
    </w:p>
    <w:p w14:paraId="3988AB25" w14:textId="6CE8C70C" w:rsidR="00E63E2A" w:rsidRPr="00E63E2A" w:rsidRDefault="00E63E2A" w:rsidP="00E63E2A">
      <w:pPr>
        <w:autoSpaceDE w:val="0"/>
        <w:autoSpaceDN w:val="0"/>
        <w:adjustRightInd w:val="0"/>
        <w:rPr>
          <w:sz w:val="20"/>
          <w:szCs w:val="20"/>
          <w:lang w:val="en-NZ"/>
        </w:rPr>
        <w:sectPr w:rsidR="00E63E2A" w:rsidRPr="00E63E2A" w:rsidSect="008E5477">
          <w:type w:val="continuous"/>
          <w:pgSz w:w="11910" w:h="16840"/>
          <w:pgMar w:top="995" w:right="600" w:bottom="840" w:left="620" w:header="720" w:footer="720" w:gutter="0"/>
          <w:cols w:space="720"/>
        </w:sectPr>
      </w:pPr>
    </w:p>
    <w:p w14:paraId="4B1A8ED8" w14:textId="77777777" w:rsidR="00AE3E37" w:rsidRDefault="00AE3E37" w:rsidP="00E63E2A">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26EE3E" w14:textId="77777777" w:rsidR="00AF1B33" w:rsidRDefault="00AF1B33">
      <w:r>
        <w:separator/>
      </w:r>
    </w:p>
  </w:endnote>
  <w:endnote w:type="continuationSeparator" w:id="0">
    <w:p w14:paraId="45FBFF0A" w14:textId="77777777" w:rsidR="00AF1B33" w:rsidRDefault="00AF1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FD596E"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CAF8ECD" wp14:editId="460615F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7689A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58B162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CAF8ECD"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137689A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58B162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285166B" wp14:editId="76B9EC7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7B311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817B34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85166B"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037B311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817B34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5B1C37C" wp14:editId="1FA54AA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61AE5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369EA7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B1C37C"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4961AE5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369EA7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4346BC" w14:textId="77777777" w:rsidR="00AF1B33" w:rsidRDefault="00AF1B33">
      <w:r>
        <w:separator/>
      </w:r>
    </w:p>
  </w:footnote>
  <w:footnote w:type="continuationSeparator" w:id="0">
    <w:p w14:paraId="6B243980" w14:textId="77777777" w:rsidR="00AF1B33" w:rsidRDefault="00AF1B3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A16BD"/>
    <w:multiLevelType w:val="hybridMultilevel"/>
    <w:tmpl w:val="02282F24"/>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07A73BF"/>
    <w:multiLevelType w:val="hybridMultilevel"/>
    <w:tmpl w:val="9D3A5D0A"/>
    <w:lvl w:ilvl="0" w:tplc="01405F40">
      <w:numFmt w:val="bullet"/>
      <w:lvlText w:val="•"/>
      <w:lvlJc w:val="left"/>
      <w:pPr>
        <w:ind w:left="460" w:hanging="360"/>
      </w:pPr>
      <w:rPr>
        <w:rFonts w:ascii="Tw Cen MT" w:eastAsia="Tw Cen MT" w:hAnsi="Tw Cen MT" w:cs="Tw Cen MT" w:hint="default"/>
      </w:rPr>
    </w:lvl>
    <w:lvl w:ilvl="1" w:tplc="04090003" w:tentative="1">
      <w:start w:val="1"/>
      <w:numFmt w:val="bullet"/>
      <w:lvlText w:val="o"/>
      <w:lvlJc w:val="left"/>
      <w:pPr>
        <w:ind w:left="1180" w:hanging="360"/>
      </w:pPr>
      <w:rPr>
        <w:rFonts w:ascii="Courier New" w:hAnsi="Courier New" w:cs="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hAnsi="Courier New" w:cs="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hAnsi="Courier New" w:cs="Courier New" w:hint="default"/>
      </w:rPr>
    </w:lvl>
    <w:lvl w:ilvl="8" w:tplc="04090005" w:tentative="1">
      <w:start w:val="1"/>
      <w:numFmt w:val="bullet"/>
      <w:lvlText w:val=""/>
      <w:lvlJc w:val="left"/>
      <w:pPr>
        <w:ind w:left="6220" w:hanging="360"/>
      </w:pPr>
      <w:rPr>
        <w:rFonts w:ascii="Wingdings" w:hAnsi="Wingding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0F49F0"/>
    <w:rsid w:val="001263DF"/>
    <w:rsid w:val="00292ED9"/>
    <w:rsid w:val="0030607F"/>
    <w:rsid w:val="00351D9B"/>
    <w:rsid w:val="00380299"/>
    <w:rsid w:val="00404E5B"/>
    <w:rsid w:val="00414F7B"/>
    <w:rsid w:val="004355DC"/>
    <w:rsid w:val="004749B4"/>
    <w:rsid w:val="00475D20"/>
    <w:rsid w:val="00494130"/>
    <w:rsid w:val="004F3523"/>
    <w:rsid w:val="00587246"/>
    <w:rsid w:val="00590D60"/>
    <w:rsid w:val="005973B9"/>
    <w:rsid w:val="005B3A56"/>
    <w:rsid w:val="006060CE"/>
    <w:rsid w:val="0061505C"/>
    <w:rsid w:val="0063497F"/>
    <w:rsid w:val="00714354"/>
    <w:rsid w:val="008528B7"/>
    <w:rsid w:val="00873DF0"/>
    <w:rsid w:val="008756E6"/>
    <w:rsid w:val="00897EC5"/>
    <w:rsid w:val="008A0763"/>
    <w:rsid w:val="008E5477"/>
    <w:rsid w:val="0091388F"/>
    <w:rsid w:val="009B2D44"/>
    <w:rsid w:val="009E4B0C"/>
    <w:rsid w:val="00A07E82"/>
    <w:rsid w:val="00A52075"/>
    <w:rsid w:val="00A9710C"/>
    <w:rsid w:val="00AE3E37"/>
    <w:rsid w:val="00AF1B33"/>
    <w:rsid w:val="00B21A57"/>
    <w:rsid w:val="00BE6743"/>
    <w:rsid w:val="00BF57A9"/>
    <w:rsid w:val="00C33602"/>
    <w:rsid w:val="00C56C74"/>
    <w:rsid w:val="00CD6F55"/>
    <w:rsid w:val="00D73C70"/>
    <w:rsid w:val="00DE3104"/>
    <w:rsid w:val="00DE6170"/>
    <w:rsid w:val="00E30AAC"/>
    <w:rsid w:val="00E63E2A"/>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807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525</Words>
  <Characters>2997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 Aquaculture Fishies</cp:lastModifiedBy>
  <cp:revision>2</cp:revision>
  <dcterms:created xsi:type="dcterms:W3CDTF">2023-01-09T09:43:00Z</dcterms:created>
  <dcterms:modified xsi:type="dcterms:W3CDTF">2023-01-09T09:43:00Z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GrammarlyDocumentId">
    <vt:lpwstr>e90cd95d055f64757d9db5a6238e08b0151968b0796f58fb7b42d990ebf7cdfb</vt:lpwstr>
  </property>
</Properties>
</file>