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3EFF" w:rsidRDefault="00603EFF" w:rsidP="00603EFF">
      <w:pPr>
        <w:pStyle w:val="BodyText"/>
        <w:spacing w:after="200" w:line="276" w:lineRule="auto"/>
        <w:jc w:val="both"/>
        <w:rPr>
          <w:rFonts w:ascii="Times New Roman" w:eastAsia="Minion Pro" w:hAnsi="Times New Roman" w:cs="Times New Roman"/>
          <w:b/>
          <w:bCs/>
          <w:color w:val="337AB7"/>
          <w:sz w:val="32"/>
          <w:szCs w:val="24"/>
        </w:rPr>
      </w:pPr>
      <w:proofErr w:type="spellStart"/>
      <w:r w:rsidRPr="00603EFF">
        <w:rPr>
          <w:rFonts w:ascii="Times New Roman" w:eastAsia="Minion Pro" w:hAnsi="Times New Roman" w:cs="Times New Roman"/>
          <w:b/>
          <w:bCs/>
          <w:color w:val="337AB7"/>
          <w:sz w:val="32"/>
          <w:szCs w:val="24"/>
        </w:rPr>
        <w:t>Bioprospective</w:t>
      </w:r>
      <w:proofErr w:type="spellEnd"/>
      <w:r w:rsidRPr="00603EFF">
        <w:rPr>
          <w:rFonts w:ascii="Times New Roman" w:eastAsia="Minion Pro" w:hAnsi="Times New Roman" w:cs="Times New Roman"/>
          <w:b/>
          <w:bCs/>
          <w:color w:val="337AB7"/>
          <w:sz w:val="32"/>
          <w:szCs w:val="24"/>
        </w:rPr>
        <w:t xml:space="preserve"> role of </w:t>
      </w:r>
      <w:proofErr w:type="spellStart"/>
      <w:r w:rsidRPr="00603EFF">
        <w:rPr>
          <w:rFonts w:ascii="Times New Roman" w:eastAsia="Minion Pro" w:hAnsi="Times New Roman" w:cs="Times New Roman"/>
          <w:b/>
          <w:bCs/>
          <w:color w:val="337AB7"/>
          <w:sz w:val="32"/>
          <w:szCs w:val="24"/>
        </w:rPr>
        <w:t>ursolic</w:t>
      </w:r>
      <w:proofErr w:type="spellEnd"/>
      <w:r w:rsidRPr="00603EFF">
        <w:rPr>
          <w:rFonts w:ascii="Times New Roman" w:eastAsia="Minion Pro" w:hAnsi="Times New Roman" w:cs="Times New Roman"/>
          <w:b/>
          <w:bCs/>
          <w:color w:val="337AB7"/>
          <w:sz w:val="32"/>
          <w:szCs w:val="24"/>
        </w:rPr>
        <w:t xml:space="preserve"> acid and </w:t>
      </w:r>
      <w:proofErr w:type="spellStart"/>
      <w:r w:rsidRPr="00603EFF">
        <w:rPr>
          <w:rFonts w:ascii="Times New Roman" w:eastAsia="Minion Pro" w:hAnsi="Times New Roman" w:cs="Times New Roman"/>
          <w:b/>
          <w:bCs/>
          <w:color w:val="337AB7"/>
          <w:sz w:val="32"/>
          <w:szCs w:val="24"/>
        </w:rPr>
        <w:t>solasodineagainst</w:t>
      </w:r>
      <w:proofErr w:type="spellEnd"/>
      <w:r w:rsidRPr="00603EFF">
        <w:rPr>
          <w:rFonts w:ascii="Times New Roman" w:eastAsia="Minion Pro" w:hAnsi="Times New Roman" w:cs="Times New Roman"/>
          <w:b/>
          <w:bCs/>
          <w:color w:val="337AB7"/>
          <w:sz w:val="32"/>
          <w:szCs w:val="24"/>
        </w:rPr>
        <w:t xml:space="preserve"> neglected tropical </w:t>
      </w:r>
      <w:proofErr w:type="spellStart"/>
      <w:proofErr w:type="gramStart"/>
      <w:r w:rsidRPr="00603EFF">
        <w:rPr>
          <w:rFonts w:ascii="Times New Roman" w:eastAsia="Minion Pro" w:hAnsi="Times New Roman" w:cs="Times New Roman"/>
          <w:b/>
          <w:bCs/>
          <w:color w:val="337AB7"/>
          <w:sz w:val="32"/>
          <w:szCs w:val="24"/>
        </w:rPr>
        <w:t>johne's</w:t>
      </w:r>
      <w:proofErr w:type="spellEnd"/>
      <w:proofErr w:type="gramEnd"/>
      <w:r w:rsidRPr="00603EFF">
        <w:rPr>
          <w:rFonts w:ascii="Times New Roman" w:eastAsia="Minion Pro" w:hAnsi="Times New Roman" w:cs="Times New Roman"/>
          <w:b/>
          <w:bCs/>
          <w:color w:val="337AB7"/>
          <w:sz w:val="32"/>
          <w:szCs w:val="24"/>
        </w:rPr>
        <w:t xml:space="preserve"> disease of domestic live</w:t>
      </w:r>
      <w:r>
        <w:rPr>
          <w:rFonts w:ascii="Times New Roman" w:eastAsia="Minion Pro" w:hAnsi="Times New Roman" w:cs="Times New Roman"/>
          <w:b/>
          <w:bCs/>
          <w:color w:val="337AB7"/>
          <w:sz w:val="32"/>
          <w:szCs w:val="24"/>
        </w:rPr>
        <w:t xml:space="preserve">stock caused by </w:t>
      </w:r>
      <w:proofErr w:type="spellStart"/>
      <w:r>
        <w:rPr>
          <w:rFonts w:ascii="Times New Roman" w:eastAsia="Minion Pro" w:hAnsi="Times New Roman" w:cs="Times New Roman"/>
          <w:b/>
          <w:bCs/>
          <w:color w:val="337AB7"/>
          <w:sz w:val="32"/>
          <w:szCs w:val="24"/>
        </w:rPr>
        <w:t>theinfection</w:t>
      </w:r>
      <w:proofErr w:type="spellEnd"/>
      <w:r>
        <w:rPr>
          <w:rFonts w:ascii="Times New Roman" w:eastAsia="Minion Pro" w:hAnsi="Times New Roman" w:cs="Times New Roman"/>
          <w:b/>
          <w:bCs/>
          <w:color w:val="337AB7"/>
          <w:sz w:val="32"/>
          <w:szCs w:val="24"/>
        </w:rPr>
        <w:t xml:space="preserve"> of M</w:t>
      </w:r>
      <w:r w:rsidRPr="00603EFF">
        <w:rPr>
          <w:rFonts w:ascii="Times New Roman" w:eastAsia="Minion Pro" w:hAnsi="Times New Roman" w:cs="Times New Roman"/>
          <w:b/>
          <w:bCs/>
          <w:color w:val="337AB7"/>
          <w:sz w:val="32"/>
          <w:szCs w:val="24"/>
        </w:rPr>
        <w:t xml:space="preserve">ycobacterium </w:t>
      </w:r>
      <w:proofErr w:type="spellStart"/>
      <w:r w:rsidRPr="00603EFF">
        <w:rPr>
          <w:rFonts w:ascii="Times New Roman" w:eastAsia="Minion Pro" w:hAnsi="Times New Roman" w:cs="Times New Roman"/>
          <w:b/>
          <w:bCs/>
          <w:color w:val="337AB7"/>
          <w:sz w:val="32"/>
          <w:szCs w:val="24"/>
        </w:rPr>
        <w:t>avium</w:t>
      </w:r>
      <w:proofErr w:type="spellEnd"/>
      <w:r w:rsidRPr="00603EFF">
        <w:rPr>
          <w:rFonts w:ascii="Times New Roman" w:eastAsia="Minion Pro" w:hAnsi="Times New Roman" w:cs="Times New Roman"/>
          <w:b/>
          <w:bCs/>
          <w:color w:val="337AB7"/>
          <w:sz w:val="32"/>
          <w:szCs w:val="24"/>
        </w:rPr>
        <w:t xml:space="preserve"> subspecies </w:t>
      </w:r>
      <w:proofErr w:type="spellStart"/>
      <w:r w:rsidRPr="00603EFF">
        <w:rPr>
          <w:rFonts w:ascii="Times New Roman" w:eastAsia="Minion Pro" w:hAnsi="Times New Roman" w:cs="Times New Roman"/>
          <w:b/>
          <w:bCs/>
          <w:color w:val="337AB7"/>
          <w:sz w:val="32"/>
          <w:szCs w:val="24"/>
        </w:rPr>
        <w:t>paratuberculosis</w:t>
      </w:r>
      <w:proofErr w:type="spellEnd"/>
      <w:r w:rsidRPr="00603EFF">
        <w:rPr>
          <w:rFonts w:ascii="Times New Roman" w:eastAsia="Minion Pro" w:hAnsi="Times New Roman" w:cs="Times New Roman"/>
          <w:b/>
          <w:bCs/>
          <w:color w:val="337AB7"/>
          <w:sz w:val="32"/>
          <w:szCs w:val="24"/>
        </w:rPr>
        <w:t xml:space="preserve"> </w:t>
      </w:r>
    </w:p>
    <w:p w:rsidR="005C0C86" w:rsidRDefault="0015174B" w:rsidP="005C0C86">
      <w:pPr>
        <w:pStyle w:val="BodyText"/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15174B">
        <w:rPr>
          <w:rFonts w:ascii="Times New Roman" w:hAnsi="Times New Roman" w:cs="Times New Roman"/>
          <w:sz w:val="24"/>
          <w:szCs w:val="24"/>
        </w:rPr>
        <w:t>Shoor</w:t>
      </w:r>
      <w:proofErr w:type="spellEnd"/>
      <w:r w:rsidRPr="001517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174B">
        <w:rPr>
          <w:rFonts w:ascii="Times New Roman" w:hAnsi="Times New Roman" w:cs="Times New Roman"/>
          <w:sz w:val="24"/>
          <w:szCs w:val="24"/>
        </w:rPr>
        <w:t>Vir</w:t>
      </w:r>
      <w:proofErr w:type="spellEnd"/>
      <w:r w:rsidRPr="0015174B">
        <w:rPr>
          <w:rFonts w:ascii="Times New Roman" w:hAnsi="Times New Roman" w:cs="Times New Roman"/>
          <w:sz w:val="24"/>
          <w:szCs w:val="24"/>
        </w:rPr>
        <w:t xml:space="preserve"> Singh </w:t>
      </w:r>
      <w:r w:rsidR="005C0C86">
        <w:rPr>
          <w:rFonts w:ascii="Times New Roman" w:hAnsi="Times New Roman" w:cs="Times New Roman"/>
          <w:sz w:val="24"/>
          <w:szCs w:val="24"/>
        </w:rPr>
        <w:t>*</w:t>
      </w:r>
    </w:p>
    <w:p w:rsidR="005C0C86" w:rsidRDefault="0015174B" w:rsidP="005C0C86">
      <w:pPr>
        <w:pStyle w:val="BodyText"/>
        <w:spacing w:after="200" w:line="276" w:lineRule="auto"/>
        <w:rPr>
          <w:rFonts w:ascii="Times New Roman" w:hAnsi="Times New Roman" w:cs="Times New Roman"/>
          <w:sz w:val="22"/>
          <w:szCs w:val="24"/>
        </w:rPr>
      </w:pPr>
      <w:r w:rsidRPr="0015174B">
        <w:rPr>
          <w:rFonts w:ascii="Times New Roman" w:hAnsi="Times New Roman" w:cs="Times New Roman"/>
          <w:sz w:val="22"/>
          <w:szCs w:val="24"/>
        </w:rPr>
        <w:t>GLA University</w:t>
      </w:r>
      <w:r w:rsidR="005C0C86">
        <w:rPr>
          <w:rFonts w:ascii="Times New Roman" w:hAnsi="Times New Roman" w:cs="Times New Roman"/>
          <w:sz w:val="22"/>
          <w:szCs w:val="24"/>
        </w:rPr>
        <w:t xml:space="preserve">, </w:t>
      </w:r>
      <w:r w:rsidRPr="0015174B">
        <w:rPr>
          <w:rFonts w:ascii="Times New Roman" w:hAnsi="Times New Roman" w:cs="Times New Roman"/>
          <w:sz w:val="22"/>
          <w:szCs w:val="24"/>
        </w:rPr>
        <w:t>India</w:t>
      </w:r>
      <w:r w:rsidR="005C0C86">
        <w:rPr>
          <w:rFonts w:ascii="Times New Roman" w:hAnsi="Times New Roman" w:cs="Times New Roman"/>
          <w:sz w:val="22"/>
          <w:szCs w:val="24"/>
        </w:rPr>
        <w:t xml:space="preserve"> </w:t>
      </w:r>
    </w:p>
    <w:p w:rsidR="005C0C86" w:rsidRDefault="005C0C86" w:rsidP="005C0C86">
      <w:pPr>
        <w:pStyle w:val="Heading3"/>
        <w:spacing w:before="0" w:after="200"/>
        <w:jc w:val="center"/>
        <w:rPr>
          <w:rFonts w:ascii="Times New Roman" w:hAnsi="Times New Roman" w:cs="Times New Roman"/>
          <w:color w:val="auto"/>
          <w:sz w:val="24"/>
          <w:szCs w:val="24"/>
          <w:lang w:val="en-IN"/>
        </w:rPr>
      </w:pPr>
      <w:bookmarkStart w:id="0" w:name="_GoBack"/>
      <w:bookmarkEnd w:id="0"/>
      <w:r>
        <w:rPr>
          <w:rFonts w:ascii="Times New Roman" w:hAnsi="Times New Roman" w:cs="Times New Roman"/>
          <w:color w:val="auto"/>
          <w:sz w:val="24"/>
          <w:szCs w:val="24"/>
          <w:lang w:val="en-IN"/>
        </w:rPr>
        <w:t xml:space="preserve">Abstract </w:t>
      </w:r>
    </w:p>
    <w:p w:rsidR="0015174B" w:rsidRPr="0015174B" w:rsidRDefault="0015174B" w:rsidP="0015174B">
      <w:pPr>
        <w:jc w:val="both"/>
        <w:rPr>
          <w:rFonts w:ascii="Times New Roman" w:eastAsia="Tw Cen MT" w:hAnsi="Times New Roman" w:cs="Times New Roman"/>
          <w:sz w:val="20"/>
          <w:szCs w:val="24"/>
          <w:lang w:val="en-US"/>
        </w:rPr>
      </w:pPr>
      <w:proofErr w:type="spellStart"/>
      <w:r w:rsidRPr="0015174B">
        <w:rPr>
          <w:rFonts w:ascii="Times New Roman" w:eastAsia="Tw Cen MT" w:hAnsi="Times New Roman" w:cs="Times New Roman"/>
          <w:sz w:val="20"/>
          <w:szCs w:val="24"/>
          <w:lang w:val="en-US"/>
        </w:rPr>
        <w:t>Bioprospective</w:t>
      </w:r>
      <w:proofErr w:type="spellEnd"/>
      <w:r w:rsidRPr="0015174B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role of </w:t>
      </w:r>
      <w:proofErr w:type="spellStart"/>
      <w:r w:rsidRPr="0015174B">
        <w:rPr>
          <w:rFonts w:ascii="Times New Roman" w:eastAsia="Tw Cen MT" w:hAnsi="Times New Roman" w:cs="Times New Roman"/>
          <w:sz w:val="20"/>
          <w:szCs w:val="24"/>
          <w:lang w:val="en-US"/>
        </w:rPr>
        <w:t>Ursolic</w:t>
      </w:r>
      <w:proofErr w:type="spellEnd"/>
      <w:r w:rsidRPr="0015174B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acid and </w:t>
      </w:r>
      <w:proofErr w:type="spellStart"/>
      <w:r w:rsidRPr="0015174B">
        <w:rPr>
          <w:rFonts w:ascii="Times New Roman" w:eastAsia="Tw Cen MT" w:hAnsi="Times New Roman" w:cs="Times New Roman"/>
          <w:sz w:val="20"/>
          <w:szCs w:val="24"/>
          <w:lang w:val="en-US"/>
        </w:rPr>
        <w:t>SolasodineAgainst</w:t>
      </w:r>
      <w:proofErr w:type="spellEnd"/>
      <w:r w:rsidRPr="0015174B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Neglected Tropical </w:t>
      </w:r>
      <w:proofErr w:type="spellStart"/>
      <w:r w:rsidRPr="0015174B">
        <w:rPr>
          <w:rFonts w:ascii="Times New Roman" w:eastAsia="Tw Cen MT" w:hAnsi="Times New Roman" w:cs="Times New Roman"/>
          <w:sz w:val="20"/>
          <w:szCs w:val="24"/>
          <w:lang w:val="en-US"/>
        </w:rPr>
        <w:t>Johne's</w:t>
      </w:r>
      <w:proofErr w:type="spellEnd"/>
      <w:r w:rsidRPr="0015174B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disease of domestic livestock caused by </w:t>
      </w:r>
      <w:proofErr w:type="spellStart"/>
      <w:r w:rsidRPr="0015174B">
        <w:rPr>
          <w:rFonts w:ascii="Times New Roman" w:eastAsia="Tw Cen MT" w:hAnsi="Times New Roman" w:cs="Times New Roman"/>
          <w:sz w:val="20"/>
          <w:szCs w:val="24"/>
          <w:lang w:val="en-US"/>
        </w:rPr>
        <w:t>theinfection</w:t>
      </w:r>
      <w:proofErr w:type="spellEnd"/>
      <w:r w:rsidRPr="0015174B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of Mycobacterium </w:t>
      </w:r>
      <w:proofErr w:type="spellStart"/>
      <w:r w:rsidRPr="0015174B">
        <w:rPr>
          <w:rFonts w:ascii="Times New Roman" w:eastAsia="Tw Cen MT" w:hAnsi="Times New Roman" w:cs="Times New Roman"/>
          <w:sz w:val="20"/>
          <w:szCs w:val="24"/>
          <w:lang w:val="en-US"/>
        </w:rPr>
        <w:t>avium</w:t>
      </w:r>
      <w:proofErr w:type="spellEnd"/>
      <w:r w:rsidRPr="0015174B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subspecies </w:t>
      </w:r>
      <w:proofErr w:type="spellStart"/>
      <w:r w:rsidRPr="0015174B">
        <w:rPr>
          <w:rFonts w:ascii="Times New Roman" w:eastAsia="Tw Cen MT" w:hAnsi="Times New Roman" w:cs="Times New Roman"/>
          <w:sz w:val="20"/>
          <w:szCs w:val="24"/>
          <w:lang w:val="en-US"/>
        </w:rPr>
        <w:t>paratuberculosis</w:t>
      </w:r>
      <w:proofErr w:type="spellEnd"/>
      <w:r w:rsidRPr="0015174B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: </w:t>
      </w:r>
      <w:proofErr w:type="spellStart"/>
      <w:r w:rsidRPr="0015174B">
        <w:rPr>
          <w:rFonts w:ascii="Times New Roman" w:eastAsia="Tw Cen MT" w:hAnsi="Times New Roman" w:cs="Times New Roman"/>
          <w:sz w:val="20"/>
          <w:szCs w:val="24"/>
          <w:lang w:val="en-US"/>
        </w:rPr>
        <w:t>Paratuberculosis</w:t>
      </w:r>
      <w:proofErr w:type="spellEnd"/>
      <w:r w:rsidRPr="0015174B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(</w:t>
      </w:r>
      <w:proofErr w:type="spellStart"/>
      <w:r w:rsidRPr="0015174B">
        <w:rPr>
          <w:rFonts w:ascii="Times New Roman" w:eastAsia="Tw Cen MT" w:hAnsi="Times New Roman" w:cs="Times New Roman"/>
          <w:sz w:val="20"/>
          <w:szCs w:val="24"/>
          <w:lang w:val="en-US"/>
        </w:rPr>
        <w:t>Johne’s</w:t>
      </w:r>
      <w:proofErr w:type="spellEnd"/>
      <w:r w:rsidRPr="0015174B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disease) is caused by Mycobacterium </w:t>
      </w:r>
      <w:proofErr w:type="spellStart"/>
      <w:r w:rsidRPr="0015174B">
        <w:rPr>
          <w:rFonts w:ascii="Times New Roman" w:eastAsia="Tw Cen MT" w:hAnsi="Times New Roman" w:cs="Times New Roman"/>
          <w:sz w:val="20"/>
          <w:szCs w:val="24"/>
          <w:lang w:val="en-US"/>
        </w:rPr>
        <w:t>avium</w:t>
      </w:r>
      <w:proofErr w:type="spellEnd"/>
      <w:r w:rsidRPr="0015174B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subspecies </w:t>
      </w:r>
      <w:proofErr w:type="spellStart"/>
      <w:r w:rsidRPr="0015174B">
        <w:rPr>
          <w:rFonts w:ascii="Times New Roman" w:eastAsia="Tw Cen MT" w:hAnsi="Times New Roman" w:cs="Times New Roman"/>
          <w:sz w:val="20"/>
          <w:szCs w:val="24"/>
          <w:lang w:val="en-US"/>
        </w:rPr>
        <w:t>paratuberculosis</w:t>
      </w:r>
      <w:proofErr w:type="spellEnd"/>
      <w:r w:rsidRPr="0015174B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(MAP), highly resistant, extremely fastidious, gram-positive acid-fast bacilli. Disease is characterized by reduced productivity, loss in body weights with (cattle and buffaloes) or without (goats and sheep) diarrhea. Animals acquire infection in early </w:t>
      </w:r>
      <w:proofErr w:type="gramStart"/>
      <w:r w:rsidRPr="0015174B">
        <w:rPr>
          <w:rFonts w:ascii="Times New Roman" w:eastAsia="Tw Cen MT" w:hAnsi="Times New Roman" w:cs="Times New Roman"/>
          <w:sz w:val="20"/>
          <w:szCs w:val="24"/>
          <w:lang w:val="en-US"/>
        </w:rPr>
        <w:t>stages(</w:t>
      </w:r>
      <w:proofErr w:type="gramEnd"/>
      <w:r w:rsidRPr="0015174B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Prenatal) through semen or in-utero or with colostrum and milk or from the environment after birth by fecal-oral route. High </w:t>
      </w:r>
      <w:proofErr w:type="spellStart"/>
      <w:r w:rsidRPr="0015174B">
        <w:rPr>
          <w:rFonts w:ascii="Times New Roman" w:eastAsia="Tw Cen MT" w:hAnsi="Times New Roman" w:cs="Times New Roman"/>
          <w:sz w:val="20"/>
          <w:szCs w:val="24"/>
          <w:lang w:val="en-US"/>
        </w:rPr>
        <w:t>endemicity</w:t>
      </w:r>
      <w:proofErr w:type="spellEnd"/>
      <w:r w:rsidRPr="0015174B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of MAP in domestic livestock leads to high propagation in herds and flocks. MAP being highly resistant in hardly bacilli, needs multi drug therapy for long time (7-8 months), which is not cost-effective and runs over the cost of animals. The present pilot study aims to evaluate the in-vitro anti- mycobacterial activity, Anti-inflammatory activity of </w:t>
      </w:r>
      <w:proofErr w:type="spellStart"/>
      <w:r w:rsidRPr="0015174B">
        <w:rPr>
          <w:rFonts w:ascii="Times New Roman" w:eastAsia="Tw Cen MT" w:hAnsi="Times New Roman" w:cs="Times New Roman"/>
          <w:sz w:val="20"/>
          <w:szCs w:val="24"/>
          <w:lang w:val="en-US"/>
        </w:rPr>
        <w:t>Ursolic</w:t>
      </w:r>
      <w:proofErr w:type="spellEnd"/>
      <w:r w:rsidRPr="0015174B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acid &amp; </w:t>
      </w:r>
      <w:proofErr w:type="spellStart"/>
      <w:r w:rsidRPr="0015174B">
        <w:rPr>
          <w:rFonts w:ascii="Times New Roman" w:eastAsia="Tw Cen MT" w:hAnsi="Times New Roman" w:cs="Times New Roman"/>
          <w:sz w:val="20"/>
          <w:szCs w:val="24"/>
          <w:lang w:val="en-US"/>
        </w:rPr>
        <w:t>Solasodine</w:t>
      </w:r>
      <w:proofErr w:type="spellEnd"/>
      <w:r w:rsidRPr="0015174B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from </w:t>
      </w:r>
      <w:proofErr w:type="spellStart"/>
      <w:r w:rsidRPr="0015174B">
        <w:rPr>
          <w:rFonts w:ascii="Times New Roman" w:eastAsia="Tw Cen MT" w:hAnsi="Times New Roman" w:cs="Times New Roman"/>
          <w:sz w:val="20"/>
          <w:szCs w:val="24"/>
          <w:lang w:val="en-US"/>
        </w:rPr>
        <w:t>Ocimum</w:t>
      </w:r>
      <w:proofErr w:type="spellEnd"/>
      <w:r w:rsidRPr="0015174B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sanctum and </w:t>
      </w:r>
      <w:proofErr w:type="spellStart"/>
      <w:r w:rsidRPr="0015174B">
        <w:rPr>
          <w:rFonts w:ascii="Times New Roman" w:eastAsia="Tw Cen MT" w:hAnsi="Times New Roman" w:cs="Times New Roman"/>
          <w:sz w:val="20"/>
          <w:szCs w:val="24"/>
          <w:lang w:val="en-US"/>
        </w:rPr>
        <w:t>Solanum</w:t>
      </w:r>
      <w:proofErr w:type="spellEnd"/>
      <w:r w:rsidRPr="0015174B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15174B">
        <w:rPr>
          <w:rFonts w:ascii="Times New Roman" w:eastAsia="Tw Cen MT" w:hAnsi="Times New Roman" w:cs="Times New Roman"/>
          <w:sz w:val="20"/>
          <w:szCs w:val="24"/>
          <w:lang w:val="en-US"/>
        </w:rPr>
        <w:t>xanthocarpum</w:t>
      </w:r>
      <w:proofErr w:type="spellEnd"/>
      <w:r w:rsidRPr="0015174B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plants. Crude aqueous, hydro- alcoholic and alcoholic extracts of the said plants was prepared by cold maceration and isolation of bioactive compounds using by fractionations. </w:t>
      </w:r>
      <w:proofErr w:type="spellStart"/>
      <w:r w:rsidRPr="0015174B">
        <w:rPr>
          <w:rFonts w:ascii="Times New Roman" w:eastAsia="Tw Cen MT" w:hAnsi="Times New Roman" w:cs="Times New Roman"/>
          <w:sz w:val="20"/>
          <w:szCs w:val="24"/>
          <w:lang w:val="en-US"/>
        </w:rPr>
        <w:t>Resazurin</w:t>
      </w:r>
      <w:proofErr w:type="spellEnd"/>
      <w:r w:rsidRPr="0015174B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15174B">
        <w:rPr>
          <w:rFonts w:ascii="Times New Roman" w:eastAsia="Tw Cen MT" w:hAnsi="Times New Roman" w:cs="Times New Roman"/>
          <w:sz w:val="20"/>
          <w:szCs w:val="24"/>
          <w:lang w:val="en-US"/>
        </w:rPr>
        <w:t>microtiter</w:t>
      </w:r>
      <w:proofErr w:type="spellEnd"/>
      <w:r w:rsidRPr="0015174B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plate assay (REMA) and heat induced </w:t>
      </w:r>
      <w:proofErr w:type="spellStart"/>
      <w:r w:rsidRPr="0015174B">
        <w:rPr>
          <w:rFonts w:ascii="Times New Roman" w:eastAsia="Tw Cen MT" w:hAnsi="Times New Roman" w:cs="Times New Roman"/>
          <w:sz w:val="20"/>
          <w:szCs w:val="24"/>
          <w:lang w:val="en-US"/>
        </w:rPr>
        <w:t>haemolysis</w:t>
      </w:r>
      <w:proofErr w:type="spellEnd"/>
      <w:r w:rsidRPr="0015174B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(HIH) was performed to investigate the activity of two bioactive compounds against MAP. Experimental studies confirmed their anti-MAP potential of </w:t>
      </w:r>
      <w:proofErr w:type="spellStart"/>
      <w:r w:rsidRPr="0015174B">
        <w:rPr>
          <w:rFonts w:ascii="Times New Roman" w:eastAsia="Tw Cen MT" w:hAnsi="Times New Roman" w:cs="Times New Roman"/>
          <w:sz w:val="20"/>
          <w:szCs w:val="24"/>
          <w:lang w:val="en-US"/>
        </w:rPr>
        <w:t>Ursolic</w:t>
      </w:r>
      <w:proofErr w:type="spellEnd"/>
      <w:r w:rsidRPr="0015174B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acid &amp; </w:t>
      </w:r>
      <w:proofErr w:type="spellStart"/>
      <w:r w:rsidRPr="0015174B">
        <w:rPr>
          <w:rFonts w:ascii="Times New Roman" w:eastAsia="Tw Cen MT" w:hAnsi="Times New Roman" w:cs="Times New Roman"/>
          <w:sz w:val="20"/>
          <w:szCs w:val="24"/>
          <w:lang w:val="en-US"/>
        </w:rPr>
        <w:t>Solasodine</w:t>
      </w:r>
      <w:proofErr w:type="spellEnd"/>
      <w:r w:rsidRPr="0015174B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was found to be the best bioactive compound’s (BAC) inhibiting the bacilli. The activity was expressed as MIC50 values of </w:t>
      </w:r>
      <w:proofErr w:type="spellStart"/>
      <w:r w:rsidRPr="0015174B">
        <w:rPr>
          <w:rFonts w:ascii="Times New Roman" w:eastAsia="Tw Cen MT" w:hAnsi="Times New Roman" w:cs="Times New Roman"/>
          <w:sz w:val="20"/>
          <w:szCs w:val="24"/>
          <w:lang w:val="en-US"/>
        </w:rPr>
        <w:t>Ursolic</w:t>
      </w:r>
      <w:proofErr w:type="spellEnd"/>
      <w:r w:rsidRPr="0015174B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acid (12µg/mL) &amp; </w:t>
      </w:r>
      <w:proofErr w:type="spellStart"/>
      <w:r w:rsidRPr="0015174B">
        <w:rPr>
          <w:rFonts w:ascii="Times New Roman" w:eastAsia="Tw Cen MT" w:hAnsi="Times New Roman" w:cs="Times New Roman"/>
          <w:sz w:val="20"/>
          <w:szCs w:val="24"/>
          <w:lang w:val="en-US"/>
        </w:rPr>
        <w:t>Solasodine</w:t>
      </w:r>
      <w:proofErr w:type="spellEnd"/>
      <w:r w:rsidRPr="0015174B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(60 µg/mL) and IC50 values of </w:t>
      </w:r>
      <w:proofErr w:type="spellStart"/>
      <w:r w:rsidRPr="0015174B">
        <w:rPr>
          <w:rFonts w:ascii="Times New Roman" w:eastAsia="Tw Cen MT" w:hAnsi="Times New Roman" w:cs="Times New Roman"/>
          <w:sz w:val="20"/>
          <w:szCs w:val="24"/>
          <w:lang w:val="en-US"/>
        </w:rPr>
        <w:t>Ursolic</w:t>
      </w:r>
      <w:proofErr w:type="spellEnd"/>
      <w:r w:rsidRPr="0015174B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acid (51.2%) &amp; </w:t>
      </w:r>
      <w:proofErr w:type="spellStart"/>
      <w:r w:rsidRPr="0015174B">
        <w:rPr>
          <w:rFonts w:ascii="Times New Roman" w:eastAsia="Tw Cen MT" w:hAnsi="Times New Roman" w:cs="Times New Roman"/>
          <w:sz w:val="20"/>
          <w:szCs w:val="24"/>
          <w:lang w:val="en-US"/>
        </w:rPr>
        <w:t>Solasodine</w:t>
      </w:r>
      <w:proofErr w:type="spellEnd"/>
      <w:r w:rsidRPr="0015174B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(89.5%</w:t>
      </w:r>
      <w:proofErr w:type="gramStart"/>
      <w:r w:rsidRPr="0015174B">
        <w:rPr>
          <w:rFonts w:ascii="Times New Roman" w:eastAsia="Tw Cen MT" w:hAnsi="Times New Roman" w:cs="Times New Roman"/>
          <w:sz w:val="20"/>
          <w:szCs w:val="24"/>
          <w:lang w:val="en-US"/>
        </w:rPr>
        <w:t>) .</w:t>
      </w:r>
      <w:proofErr w:type="gramEnd"/>
      <w:r w:rsidRPr="0015174B">
        <w:rPr>
          <w:rFonts w:ascii="Times New Roman" w:eastAsia="Tw Cen MT" w:hAnsi="Times New Roman" w:cs="Times New Roman"/>
          <w:sz w:val="20"/>
          <w:szCs w:val="24"/>
          <w:lang w:val="en-US"/>
        </w:rPr>
        <w:t>This is the first attempt suggesting potential therapeutic value against highly pathogenic native ‘S 5’ strain of MAP giving a ray of hope for development of an herbal anti-MAP medication for domestic livestock which will pave way for therapy in human beings, since, it is a major infection associated with autoimmune disorders.</w:t>
      </w:r>
    </w:p>
    <w:p w:rsidR="005C0C86" w:rsidRDefault="005C0C86" w:rsidP="005C0C86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References</w:t>
      </w:r>
      <w:proofErr w:type="spellEnd"/>
    </w:p>
    <w:p w:rsidR="0015174B" w:rsidRPr="0015174B" w:rsidRDefault="0015174B" w:rsidP="0015174B">
      <w:pPr>
        <w:pStyle w:val="Normal1"/>
        <w:numPr>
          <w:ilvl w:val="0"/>
          <w:numId w:val="2"/>
        </w:numPr>
        <w:jc w:val="both"/>
        <w:rPr>
          <w:sz w:val="20"/>
          <w:szCs w:val="20"/>
        </w:rPr>
      </w:pPr>
      <w:r w:rsidRPr="0015174B">
        <w:rPr>
          <w:sz w:val="20"/>
          <w:szCs w:val="20"/>
        </w:rPr>
        <w:t>Srivastava, V., Navabharath, M., Gupta, S., Singh, S. V., &amp; Ahmad, S. (2022). Exploration of Solanum xanthocarpum Schrad. &amp; Wendl. against Mycobacterium avium Subspecies paratuberculosis and Assessment of Its Immunomodulatory and Anti-Inflammatory Potential. Pharmaceuticals, 15(11), 1367.</w:t>
      </w:r>
    </w:p>
    <w:p w:rsidR="0015174B" w:rsidRPr="0015174B" w:rsidRDefault="0015174B" w:rsidP="0015174B">
      <w:pPr>
        <w:pStyle w:val="Normal1"/>
        <w:numPr>
          <w:ilvl w:val="0"/>
          <w:numId w:val="2"/>
        </w:numPr>
        <w:jc w:val="both"/>
        <w:rPr>
          <w:sz w:val="20"/>
          <w:szCs w:val="20"/>
        </w:rPr>
      </w:pPr>
      <w:r w:rsidRPr="0015174B">
        <w:rPr>
          <w:sz w:val="20"/>
          <w:szCs w:val="20"/>
        </w:rPr>
        <w:t>Navabharath, M., Srivastava, V., Gupta, S., Singh, S. V., &amp; Ahmad, S. (2023). Ursolic Acid and Solasodine as Potent Anti-Mycobacterial Agents for Combating Paratuberculosis: An Anti-Inflammatory and In Silico Analysis. Molecules, 28(1), 274.</w:t>
      </w:r>
    </w:p>
    <w:p w:rsidR="0015174B" w:rsidRPr="0015174B" w:rsidRDefault="0015174B" w:rsidP="0015174B">
      <w:pPr>
        <w:pStyle w:val="Normal1"/>
        <w:numPr>
          <w:ilvl w:val="0"/>
          <w:numId w:val="2"/>
        </w:numPr>
        <w:jc w:val="both"/>
        <w:rPr>
          <w:sz w:val="20"/>
          <w:szCs w:val="20"/>
        </w:rPr>
      </w:pPr>
      <w:r w:rsidRPr="0015174B">
        <w:rPr>
          <w:sz w:val="20"/>
          <w:szCs w:val="20"/>
        </w:rPr>
        <w:t>Singh, S. V., Singh, P. K., Singh, A. V., Sohal, J. S., Kumar, N., Chaubey, K. K., ... &amp; Dhama, K. (2014). ‘Bio‐Load’and Bio‐Type Profiles of Mycobacterium avium subspecies paratuberculosis Infection in the Domestic Livestock Population Endemic for Johne's Disease: A Survey of 28 years (1985–2013) in India. Transboundary and emerging diseases, 61, 43-55.</w:t>
      </w:r>
    </w:p>
    <w:p w:rsidR="0015174B" w:rsidRPr="0015174B" w:rsidRDefault="0015174B" w:rsidP="0015174B">
      <w:pPr>
        <w:pStyle w:val="Normal1"/>
        <w:numPr>
          <w:ilvl w:val="0"/>
          <w:numId w:val="2"/>
        </w:numPr>
        <w:jc w:val="both"/>
        <w:rPr>
          <w:sz w:val="20"/>
          <w:szCs w:val="20"/>
        </w:rPr>
      </w:pPr>
      <w:r w:rsidRPr="0015174B">
        <w:rPr>
          <w:sz w:val="20"/>
          <w:szCs w:val="20"/>
        </w:rPr>
        <w:t>Bo, M., Niegowska, M., Frau, J., Sechi, G., Arru, G., Cocco, E., &amp; Sechi, L. A. (2020). IL-2 and Mycobacterial Lipoarabinomannan as Targets of Immune Responses in Multiple Sclerosis Patients. Microorganisms, 8(4), 500.</w:t>
      </w:r>
    </w:p>
    <w:p w:rsidR="0015174B" w:rsidRPr="0015174B" w:rsidRDefault="0015174B" w:rsidP="0015174B">
      <w:pPr>
        <w:pStyle w:val="Normal1"/>
        <w:numPr>
          <w:ilvl w:val="0"/>
          <w:numId w:val="2"/>
        </w:numPr>
        <w:jc w:val="both"/>
        <w:rPr>
          <w:sz w:val="20"/>
          <w:szCs w:val="20"/>
        </w:rPr>
      </w:pPr>
      <w:r w:rsidRPr="0015174B">
        <w:rPr>
          <w:sz w:val="20"/>
          <w:szCs w:val="20"/>
        </w:rPr>
        <w:t>Cossu, D., Mameli, G., Galleri, G., Cocco, E., Masala, S., Frau, J., ... &amp; Sechi, L. A. (2015). Human interferon regulatory factor 5 homologous epitopes of Epstein-Barr virus and Mycobacterium avium subsp. paratuberculosis induce a specific humoral and cellular immune response in multiple sclerosis patients. Multiple sclerosis journal, 21(8), 984-995.</w:t>
      </w:r>
    </w:p>
    <w:p w:rsidR="0015174B" w:rsidRPr="0015174B" w:rsidRDefault="0015174B" w:rsidP="0015174B">
      <w:pPr>
        <w:pStyle w:val="Normal1"/>
        <w:numPr>
          <w:ilvl w:val="0"/>
          <w:numId w:val="2"/>
        </w:numPr>
        <w:jc w:val="both"/>
        <w:rPr>
          <w:sz w:val="20"/>
          <w:szCs w:val="20"/>
        </w:rPr>
      </w:pPr>
      <w:r w:rsidRPr="0015174B">
        <w:rPr>
          <w:sz w:val="20"/>
          <w:szCs w:val="20"/>
        </w:rPr>
        <w:t>Dow, C. T., &amp; Sechi, L. A. (2019). Cows get Crohn’s disease and they’re giving us diabetes. Microorganisms, 7(10), 466.</w:t>
      </w:r>
    </w:p>
    <w:p w:rsidR="0015174B" w:rsidRPr="0015174B" w:rsidRDefault="0015174B" w:rsidP="0015174B">
      <w:pPr>
        <w:pStyle w:val="Normal1"/>
        <w:numPr>
          <w:ilvl w:val="0"/>
          <w:numId w:val="2"/>
        </w:numPr>
        <w:jc w:val="both"/>
        <w:rPr>
          <w:sz w:val="20"/>
          <w:szCs w:val="20"/>
        </w:rPr>
      </w:pPr>
      <w:r w:rsidRPr="0015174B">
        <w:rPr>
          <w:sz w:val="20"/>
          <w:szCs w:val="20"/>
        </w:rPr>
        <w:lastRenderedPageBreak/>
        <w:t>Masala, S., Cossu, D., Piccinini, S., Rapini, N., Mameli, G., Manca Bitti, M. L., &amp; Sechi, L. A. (2015). Proinsulin and MAP3865c homologous epitopes are a target of antibody response in new‐onset type 1 diabetes children from continental Italy. Pediatric Diabetes, 16(3), 189-195.</w:t>
      </w:r>
    </w:p>
    <w:p w:rsidR="0015174B" w:rsidRPr="0015174B" w:rsidRDefault="0015174B" w:rsidP="0015174B">
      <w:pPr>
        <w:pStyle w:val="Normal1"/>
        <w:numPr>
          <w:ilvl w:val="0"/>
          <w:numId w:val="2"/>
        </w:numPr>
        <w:jc w:val="both"/>
        <w:rPr>
          <w:sz w:val="20"/>
          <w:szCs w:val="20"/>
        </w:rPr>
      </w:pPr>
      <w:r w:rsidRPr="0015174B">
        <w:rPr>
          <w:sz w:val="20"/>
          <w:szCs w:val="20"/>
        </w:rPr>
        <w:t>Gunathilake, K. D. P. P., Ranaweera, K. K. D. S., &amp; Rupasinghe, H. P. V. (2018). Influence of boiling, steaming and frying of selected leafy vegetables on the in vitro anti-inflammation associated biological activities. Plants, 7(1), 22.</w:t>
      </w:r>
    </w:p>
    <w:p w:rsidR="0015174B" w:rsidRPr="0015174B" w:rsidRDefault="0015174B" w:rsidP="0015174B">
      <w:pPr>
        <w:pStyle w:val="Normal1"/>
        <w:numPr>
          <w:ilvl w:val="0"/>
          <w:numId w:val="2"/>
        </w:numPr>
        <w:jc w:val="both"/>
        <w:rPr>
          <w:sz w:val="20"/>
          <w:szCs w:val="20"/>
        </w:rPr>
      </w:pPr>
      <w:r w:rsidRPr="0015174B">
        <w:rPr>
          <w:sz w:val="20"/>
          <w:szCs w:val="20"/>
        </w:rPr>
        <w:t>Okoli, C. O., Akah, P. A., Onuoha, N. J., Okoye, T. C., Nwoye, A. C., &amp; Nworu, C. S. (2008). Acanthus montanus: An experimental evaluation of the antimicrobial, anti-inflammatory and immunological properties of a traditional remedy for furuncles. BMC complementary and alternative medicine, 8(1), 1-11.</w:t>
      </w:r>
    </w:p>
    <w:p w:rsidR="0015174B" w:rsidRPr="0015174B" w:rsidRDefault="0015174B" w:rsidP="0015174B">
      <w:pPr>
        <w:pStyle w:val="Normal1"/>
        <w:numPr>
          <w:ilvl w:val="0"/>
          <w:numId w:val="2"/>
        </w:numPr>
        <w:jc w:val="both"/>
        <w:rPr>
          <w:sz w:val="20"/>
          <w:szCs w:val="20"/>
        </w:rPr>
      </w:pPr>
      <w:r w:rsidRPr="0015174B">
        <w:rPr>
          <w:sz w:val="20"/>
          <w:szCs w:val="20"/>
        </w:rPr>
        <w:t>Shinde, U. A., Phadke, A. S., Nair, A. M., Mungantiwar, A. A., Dikshit, V. J., &amp; Saraf, M. N. (1999). Membrane stabilizing activity—a possible mechanism of action for the anti-inflammatory activity of Cedrus deodara wood oil. Fitoterapia, 70(3), 251-257.</w:t>
      </w:r>
    </w:p>
    <w:p w:rsidR="0015174B" w:rsidRPr="0015174B" w:rsidRDefault="0015174B" w:rsidP="0015174B">
      <w:pPr>
        <w:pStyle w:val="Normal1"/>
        <w:numPr>
          <w:ilvl w:val="0"/>
          <w:numId w:val="2"/>
        </w:numPr>
        <w:jc w:val="both"/>
        <w:rPr>
          <w:sz w:val="20"/>
          <w:szCs w:val="20"/>
        </w:rPr>
      </w:pPr>
      <w:r w:rsidRPr="0015174B">
        <w:rPr>
          <w:sz w:val="20"/>
          <w:szCs w:val="20"/>
        </w:rPr>
        <w:t>Raju, G. S., Moghal, M. R., Dewan, S. M. R., Amin, M. N., &amp; Billah, M. (2013). Characterization of phytoconstituents and evaluation of total phenolic content, anthelmintic, and antimicrobial activities of Solanum violaceum Ortega. Avicenna Journal of Phytomedicine, 3(4), 313.</w:t>
      </w:r>
    </w:p>
    <w:p w:rsidR="0015174B" w:rsidRPr="0015174B" w:rsidRDefault="0015174B" w:rsidP="0015174B">
      <w:pPr>
        <w:pStyle w:val="Normal1"/>
        <w:numPr>
          <w:ilvl w:val="0"/>
          <w:numId w:val="2"/>
        </w:numPr>
        <w:jc w:val="both"/>
        <w:rPr>
          <w:sz w:val="20"/>
          <w:szCs w:val="20"/>
        </w:rPr>
      </w:pPr>
      <w:r w:rsidRPr="0015174B">
        <w:rPr>
          <w:sz w:val="20"/>
          <w:szCs w:val="20"/>
        </w:rPr>
        <w:t>Odhong', C., Wilkes, A., van Dijk, S., Vorlaufer, M., Ndonga, S., Sing'ora, B., &amp; Kenyanito, L. (2019). Financing large-scale mitigation by smallholder farmers: what roles for public climate finance?. Frontiers in Sustainable Food Systems, 3, 3.</w:t>
      </w:r>
    </w:p>
    <w:p w:rsidR="0015174B" w:rsidRDefault="0015174B" w:rsidP="005C0C86">
      <w:pPr>
        <w:tabs>
          <w:tab w:val="left" w:pos="384"/>
        </w:tabs>
        <w:rPr>
          <w:rFonts w:ascii="Times New Roman" w:hAnsi="Times New Roman" w:cs="Times New Roman"/>
          <w:b/>
          <w:sz w:val="24"/>
          <w:szCs w:val="24"/>
        </w:rPr>
      </w:pPr>
    </w:p>
    <w:p w:rsidR="005C0C86" w:rsidRDefault="005C0C86" w:rsidP="005C0C86">
      <w:pPr>
        <w:tabs>
          <w:tab w:val="left" w:pos="384"/>
        </w:tabs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Biography</w:t>
      </w:r>
      <w:proofErr w:type="spellEnd"/>
    </w:p>
    <w:p w:rsidR="0015174B" w:rsidRPr="0015174B" w:rsidRDefault="0015174B" w:rsidP="0015174B">
      <w:pPr>
        <w:jc w:val="both"/>
        <w:rPr>
          <w:rFonts w:ascii="Times New Roman" w:hAnsi="Times New Roman" w:cs="Times New Roman"/>
          <w:sz w:val="20"/>
          <w:szCs w:val="24"/>
          <w:lang w:val="en-US"/>
        </w:rPr>
      </w:pPr>
      <w:r w:rsidRPr="0015174B">
        <w:rPr>
          <w:rFonts w:ascii="Times New Roman" w:hAnsi="Times New Roman" w:cs="Times New Roman"/>
          <w:sz w:val="20"/>
          <w:szCs w:val="24"/>
          <w:lang w:val="en-US"/>
        </w:rPr>
        <w:t>Dr.</w:t>
      </w:r>
      <w:r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15174B">
        <w:rPr>
          <w:rFonts w:ascii="Times New Roman" w:hAnsi="Times New Roman" w:cs="Times New Roman"/>
          <w:sz w:val="20"/>
          <w:szCs w:val="24"/>
          <w:lang w:val="en-US"/>
        </w:rPr>
        <w:t>Shoor</w:t>
      </w:r>
      <w:proofErr w:type="spellEnd"/>
      <w:r w:rsidRPr="0015174B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15174B">
        <w:rPr>
          <w:rFonts w:ascii="Times New Roman" w:hAnsi="Times New Roman" w:cs="Times New Roman"/>
          <w:sz w:val="20"/>
          <w:szCs w:val="24"/>
          <w:lang w:val="en-US"/>
        </w:rPr>
        <w:t>Vir</w:t>
      </w:r>
      <w:proofErr w:type="spellEnd"/>
      <w:r w:rsidRPr="0015174B">
        <w:rPr>
          <w:rFonts w:ascii="Times New Roman" w:hAnsi="Times New Roman" w:cs="Times New Roman"/>
          <w:sz w:val="20"/>
          <w:szCs w:val="24"/>
          <w:lang w:val="en-US"/>
        </w:rPr>
        <w:t xml:space="preserve"> Singh has completed his PhD at the age of 42 years </w:t>
      </w:r>
      <w:r>
        <w:rPr>
          <w:rFonts w:ascii="Times New Roman" w:hAnsi="Times New Roman" w:cs="Times New Roman"/>
          <w:sz w:val="20"/>
          <w:szCs w:val="24"/>
          <w:lang w:val="en-US"/>
        </w:rPr>
        <w:t xml:space="preserve">from Veterinary College Mathura </w:t>
      </w:r>
      <w:r w:rsidRPr="0015174B">
        <w:rPr>
          <w:rFonts w:ascii="Times New Roman" w:hAnsi="Times New Roman" w:cs="Times New Roman"/>
          <w:sz w:val="20"/>
          <w:szCs w:val="24"/>
          <w:lang w:val="en-US"/>
        </w:rPr>
        <w:t xml:space="preserve">(CSA University of Agriculture &amp; Technology., Kanpur) and He is the Principal Scientist and Head of ICAR-Central Institute for Research on Goats, </w:t>
      </w:r>
      <w:proofErr w:type="spellStart"/>
      <w:r w:rsidRPr="0015174B">
        <w:rPr>
          <w:rFonts w:ascii="Times New Roman" w:hAnsi="Times New Roman" w:cs="Times New Roman"/>
          <w:sz w:val="20"/>
          <w:szCs w:val="24"/>
          <w:lang w:val="en-US"/>
        </w:rPr>
        <w:t>Makhdoom</w:t>
      </w:r>
      <w:proofErr w:type="spellEnd"/>
      <w:r w:rsidRPr="0015174B">
        <w:rPr>
          <w:rFonts w:ascii="Times New Roman" w:hAnsi="Times New Roman" w:cs="Times New Roman"/>
          <w:sz w:val="20"/>
          <w:szCs w:val="24"/>
          <w:lang w:val="en-US"/>
        </w:rPr>
        <w:t>, Farah, Mathura, UP. He is currently working the Professor &amp; Head Dept. of Biotechnology, GLA University, Mathura, UP.  He has published more than &gt;250 papers in reputed journals and International Awards: 12; National Awards: 24; Publications (Numbers only): 250</w:t>
      </w:r>
      <w:proofErr w:type="gramStart"/>
      <w:r w:rsidRPr="0015174B">
        <w:rPr>
          <w:rFonts w:ascii="Times New Roman" w:hAnsi="Times New Roman" w:cs="Times New Roman"/>
          <w:sz w:val="20"/>
          <w:szCs w:val="24"/>
          <w:lang w:val="en-US"/>
        </w:rPr>
        <w:t>;  Patents</w:t>
      </w:r>
      <w:proofErr w:type="gramEnd"/>
      <w:r w:rsidRPr="0015174B">
        <w:rPr>
          <w:rFonts w:ascii="Times New Roman" w:hAnsi="Times New Roman" w:cs="Times New Roman"/>
          <w:sz w:val="20"/>
          <w:szCs w:val="24"/>
          <w:lang w:val="en-US"/>
        </w:rPr>
        <w:t xml:space="preserve"> : 03; Projects (Ongoing): 07; Projects (Completed): 13; Abstracts: 100; Book /Chapters / Manuals: 22; Conference Proceeding Papers, Popular Articles, Bulletins: 87. </w:t>
      </w:r>
    </w:p>
    <w:p w:rsidR="00916288" w:rsidRPr="005C0C86" w:rsidRDefault="00603EFF" w:rsidP="0015174B">
      <w:pPr>
        <w:jc w:val="both"/>
        <w:rPr>
          <w:rFonts w:ascii="Times New Roman" w:hAnsi="Times New Roman" w:cs="Times New Roman"/>
          <w:sz w:val="20"/>
          <w:szCs w:val="24"/>
          <w:lang w:val="en-US"/>
        </w:rPr>
      </w:pPr>
    </w:p>
    <w:sectPr w:rsidR="00916288" w:rsidRPr="005C0C8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2648C"/>
    <w:multiLevelType w:val="hybridMultilevel"/>
    <w:tmpl w:val="1F127E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D692EA5"/>
    <w:multiLevelType w:val="hybridMultilevel"/>
    <w:tmpl w:val="D2D4B65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0C86"/>
    <w:rsid w:val="0015174B"/>
    <w:rsid w:val="005C0C86"/>
    <w:rsid w:val="00603EFF"/>
    <w:rsid w:val="008077D4"/>
    <w:rsid w:val="00E913F5"/>
    <w:rsid w:val="00F24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0C86"/>
    <w:rPr>
      <w:lang w:val="es-US"/>
    </w:rPr>
  </w:style>
  <w:style w:type="paragraph" w:styleId="Heading1">
    <w:name w:val="heading 1"/>
    <w:basedOn w:val="Normal"/>
    <w:link w:val="Heading1Char"/>
    <w:uiPriority w:val="1"/>
    <w:qFormat/>
    <w:rsid w:val="005C0C86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0C8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5C0C86"/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0C86"/>
    <w:rPr>
      <w:rFonts w:asciiTheme="majorHAnsi" w:eastAsiaTheme="majorEastAsia" w:hAnsiTheme="majorHAnsi" w:cstheme="majorBidi"/>
      <w:b/>
      <w:bCs/>
      <w:color w:val="4F81BD" w:themeColor="accent1"/>
      <w:lang w:val="es-U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C0C86"/>
    <w:pPr>
      <w:widowControl w:val="0"/>
      <w:spacing w:after="0" w:line="240" w:lineRule="auto"/>
    </w:pPr>
    <w:rPr>
      <w:rFonts w:ascii="Tw Cen MT" w:eastAsia="Tw Cen MT" w:hAnsi="Tw Cen MT" w:cs="Tw Cen MT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C0C86"/>
    <w:rPr>
      <w:rFonts w:ascii="Tw Cen MT" w:eastAsia="Tw Cen MT" w:hAnsi="Tw Cen MT" w:cs="Tw Cen MT"/>
      <w:sz w:val="20"/>
      <w:szCs w:val="20"/>
      <w:lang w:val="en-US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5C0C86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5C0C86"/>
    <w:rPr>
      <w:rFonts w:ascii="Tw Cen MT" w:eastAsia="Tw Cen MT" w:hAnsi="Tw Cen MT" w:cs="Tw Cen MT"/>
      <w:sz w:val="18"/>
      <w:szCs w:val="18"/>
      <w:lang w:val="en-US"/>
    </w:rPr>
  </w:style>
  <w:style w:type="paragraph" w:styleId="ListParagraph">
    <w:name w:val="List Paragraph"/>
    <w:basedOn w:val="Normal"/>
    <w:uiPriority w:val="1"/>
    <w:qFormat/>
    <w:rsid w:val="005C0C86"/>
    <w:pPr>
      <w:widowControl w:val="0"/>
      <w:spacing w:before="90" w:after="0" w:line="200" w:lineRule="exact"/>
      <w:ind w:left="383" w:hanging="283"/>
      <w:jc w:val="both"/>
    </w:pPr>
    <w:rPr>
      <w:rFonts w:ascii="Calibri" w:eastAsia="Calibri" w:hAnsi="Calibri" w:cs="Calibri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5C0C86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0C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0C86"/>
    <w:rPr>
      <w:rFonts w:ascii="Tahoma" w:hAnsi="Tahoma" w:cs="Tahoma"/>
      <w:sz w:val="16"/>
      <w:szCs w:val="16"/>
      <w:lang w:val="es-US"/>
    </w:rPr>
  </w:style>
  <w:style w:type="paragraph" w:customStyle="1" w:styleId="Normal1">
    <w:name w:val="Normal1"/>
    <w:rsid w:val="001517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0C86"/>
    <w:rPr>
      <w:lang w:val="es-US"/>
    </w:rPr>
  </w:style>
  <w:style w:type="paragraph" w:styleId="Heading1">
    <w:name w:val="heading 1"/>
    <w:basedOn w:val="Normal"/>
    <w:link w:val="Heading1Char"/>
    <w:uiPriority w:val="1"/>
    <w:qFormat/>
    <w:rsid w:val="005C0C86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0C8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5C0C86"/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0C86"/>
    <w:rPr>
      <w:rFonts w:asciiTheme="majorHAnsi" w:eastAsiaTheme="majorEastAsia" w:hAnsiTheme="majorHAnsi" w:cstheme="majorBidi"/>
      <w:b/>
      <w:bCs/>
      <w:color w:val="4F81BD" w:themeColor="accent1"/>
      <w:lang w:val="es-U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C0C86"/>
    <w:pPr>
      <w:widowControl w:val="0"/>
      <w:spacing w:after="0" w:line="240" w:lineRule="auto"/>
    </w:pPr>
    <w:rPr>
      <w:rFonts w:ascii="Tw Cen MT" w:eastAsia="Tw Cen MT" w:hAnsi="Tw Cen MT" w:cs="Tw Cen MT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C0C86"/>
    <w:rPr>
      <w:rFonts w:ascii="Tw Cen MT" w:eastAsia="Tw Cen MT" w:hAnsi="Tw Cen MT" w:cs="Tw Cen MT"/>
      <w:sz w:val="20"/>
      <w:szCs w:val="20"/>
      <w:lang w:val="en-US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5C0C86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5C0C86"/>
    <w:rPr>
      <w:rFonts w:ascii="Tw Cen MT" w:eastAsia="Tw Cen MT" w:hAnsi="Tw Cen MT" w:cs="Tw Cen MT"/>
      <w:sz w:val="18"/>
      <w:szCs w:val="18"/>
      <w:lang w:val="en-US"/>
    </w:rPr>
  </w:style>
  <w:style w:type="paragraph" w:styleId="ListParagraph">
    <w:name w:val="List Paragraph"/>
    <w:basedOn w:val="Normal"/>
    <w:uiPriority w:val="1"/>
    <w:qFormat/>
    <w:rsid w:val="005C0C86"/>
    <w:pPr>
      <w:widowControl w:val="0"/>
      <w:spacing w:before="90" w:after="0" w:line="200" w:lineRule="exact"/>
      <w:ind w:left="383" w:hanging="283"/>
      <w:jc w:val="both"/>
    </w:pPr>
    <w:rPr>
      <w:rFonts w:ascii="Calibri" w:eastAsia="Calibri" w:hAnsi="Calibri" w:cs="Calibri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5C0C86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0C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0C86"/>
    <w:rPr>
      <w:rFonts w:ascii="Tahoma" w:hAnsi="Tahoma" w:cs="Tahoma"/>
      <w:sz w:val="16"/>
      <w:szCs w:val="16"/>
      <w:lang w:val="es-US"/>
    </w:rPr>
  </w:style>
  <w:style w:type="paragraph" w:customStyle="1" w:styleId="Normal1">
    <w:name w:val="Normal1"/>
    <w:rsid w:val="001517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30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928</Words>
  <Characters>5291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omics</dc:creator>
  <cp:lastModifiedBy>omics</cp:lastModifiedBy>
  <cp:revision>3</cp:revision>
  <dcterms:created xsi:type="dcterms:W3CDTF">2023-01-06T09:01:00Z</dcterms:created>
  <dcterms:modified xsi:type="dcterms:W3CDTF">2023-01-06T09:37:00Z</dcterms:modified>
</cp:coreProperties>
</file>