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74B" w:rsidRDefault="0015174B" w:rsidP="0015174B">
      <w:pPr>
        <w:pStyle w:val="BodyText"/>
        <w:spacing w:after="200" w:line="276" w:lineRule="auto"/>
        <w:jc w:val="both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proofErr w:type="spellStart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Bioprospective</w:t>
      </w:r>
      <w:proofErr w:type="spellEnd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role of </w:t>
      </w:r>
      <w:proofErr w:type="spellStart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ursolic</w:t>
      </w:r>
      <w:proofErr w:type="spellEnd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acid and </w:t>
      </w:r>
      <w:proofErr w:type="spellStart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solasodineagainst</w:t>
      </w:r>
      <w:proofErr w:type="spellEnd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neglected tropical </w:t>
      </w:r>
      <w:proofErr w:type="spellStart"/>
      <w:proofErr w:type="gramStart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johne's</w:t>
      </w:r>
      <w:proofErr w:type="spellEnd"/>
      <w:proofErr w:type="gramEnd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disease of domestic livestock caused by </w:t>
      </w:r>
      <w:proofErr w:type="spellStart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theinfection</w:t>
      </w:r>
      <w:proofErr w:type="spellEnd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of mycobacterium </w:t>
      </w:r>
      <w:proofErr w:type="spellStart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avium</w:t>
      </w:r>
      <w:proofErr w:type="spellEnd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subspecies </w:t>
      </w:r>
      <w:proofErr w:type="spellStart"/>
      <w:r w:rsidRPr="0015174B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paratuberculosis</w:t>
      </w:r>
      <w:proofErr w:type="spellEnd"/>
    </w:p>
    <w:p w:rsidR="005C0C86" w:rsidRDefault="0015174B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5174B">
        <w:rPr>
          <w:rFonts w:ascii="Times New Roman" w:hAnsi="Times New Roman" w:cs="Times New Roman"/>
          <w:sz w:val="24"/>
          <w:szCs w:val="24"/>
        </w:rPr>
        <w:t>Shoor</w:t>
      </w:r>
      <w:proofErr w:type="spellEnd"/>
      <w:r w:rsidRPr="001517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74B">
        <w:rPr>
          <w:rFonts w:ascii="Times New Roman" w:hAnsi="Times New Roman" w:cs="Times New Roman"/>
          <w:sz w:val="24"/>
          <w:szCs w:val="24"/>
        </w:rPr>
        <w:t>Vir</w:t>
      </w:r>
      <w:proofErr w:type="spellEnd"/>
      <w:r w:rsidRPr="0015174B">
        <w:rPr>
          <w:rFonts w:ascii="Times New Roman" w:hAnsi="Times New Roman" w:cs="Times New Roman"/>
          <w:sz w:val="24"/>
          <w:szCs w:val="24"/>
        </w:rPr>
        <w:t xml:space="preserve"> Singh </w:t>
      </w:r>
      <w:r w:rsidR="005C0C86">
        <w:rPr>
          <w:rFonts w:ascii="Times New Roman" w:hAnsi="Times New Roman" w:cs="Times New Roman"/>
          <w:sz w:val="24"/>
          <w:szCs w:val="24"/>
        </w:rPr>
        <w:t>*</w:t>
      </w:r>
    </w:p>
    <w:p w:rsidR="005C0C86" w:rsidRDefault="0015174B" w:rsidP="005C0C86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15174B">
        <w:rPr>
          <w:rFonts w:ascii="Times New Roman" w:hAnsi="Times New Roman" w:cs="Times New Roman"/>
          <w:sz w:val="22"/>
          <w:szCs w:val="24"/>
        </w:rPr>
        <w:t>GLA University</w:t>
      </w:r>
      <w:r w:rsidR="005C0C86">
        <w:rPr>
          <w:rFonts w:ascii="Times New Roman" w:hAnsi="Times New Roman" w:cs="Times New Roman"/>
          <w:sz w:val="22"/>
          <w:szCs w:val="24"/>
        </w:rPr>
        <w:t xml:space="preserve">, </w:t>
      </w:r>
      <w:r w:rsidRPr="0015174B">
        <w:rPr>
          <w:rFonts w:ascii="Times New Roman" w:hAnsi="Times New Roman" w:cs="Times New Roman"/>
          <w:sz w:val="22"/>
          <w:szCs w:val="24"/>
        </w:rPr>
        <w:t>India</w:t>
      </w:r>
      <w:r w:rsidR="005C0C86">
        <w:rPr>
          <w:rFonts w:ascii="Times New Roman" w:hAnsi="Times New Roman" w:cs="Times New Roman"/>
          <w:sz w:val="22"/>
          <w:szCs w:val="24"/>
        </w:rPr>
        <w:t xml:space="preserve"> </w:t>
      </w:r>
    </w:p>
    <w:p w:rsidR="005C0C86" w:rsidRDefault="005C0C86" w:rsidP="005C0C86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15174B" w:rsidRPr="0015174B" w:rsidRDefault="0015174B" w:rsidP="0015174B">
      <w:pPr>
        <w:jc w:val="both"/>
        <w:rPr>
          <w:rFonts w:ascii="Times New Roman" w:eastAsia="Tw Cen MT" w:hAnsi="Times New Roman" w:cs="Times New Roman"/>
          <w:sz w:val="20"/>
          <w:szCs w:val="24"/>
          <w:lang w:val="en-US"/>
        </w:rPr>
      </w:pP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Bioprospective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role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and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SolasodineAgainst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Neglected Tropical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Johne's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disease of domestic livestock caused by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theinfection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Mycobacterium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avium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subspecies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paratuberculosis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: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Paratuberculosis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Johne’s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disease) is caused by Mycobacterium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avium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subspecies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paratuberculosis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(MAP), highly resistant, extremely fastidious, gram-positive acid-fast bacilli. Disease is characterized by reduced productivity, loss in body weights with (cattle and buffaloes) or without (goats and sheep) diarrhea. Animals acquire infection in early </w:t>
      </w:r>
      <w:proofErr w:type="gram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stages(</w:t>
      </w:r>
      <w:proofErr w:type="gram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Prenatal) through semen or in-utero or with colostrum and milk or from the environment after birth by fecal-oral route. High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endemicity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MAP in domestic livestock leads to high propagation in herds and flocks. MAP being highly resistant in hardly bacilli, needs multi drug therapy for long time (7-8 months), which is not cost-effective and runs over the cost of animals. The present pilot study aims to evaluate the in-vitro anti- mycobacterial activity, Anti-inflammatory activity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&amp;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from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Ocimum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sanctum and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Solanum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xanthocarpum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plants. Crude aqueous, hydro- alcoholic and alcoholic extracts of the said plants was prepared by cold maceration and isolation of bioactive compounds using by fractionations.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Resazurin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microtiter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plate assay (REMA) and heat induced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haemolysis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(HIH) was performed to investigate the activity of two bioactive compounds against MAP. Experimental studies confirmed their anti-MAP potential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&amp;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was found to be the best bioactive compound’s (BAC) inhibiting the bacilli. The activity was expressed as MIC50 values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(12µg/mL) &amp;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(60 µg/mL) and IC50 values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(51.2%) &amp;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(89.5%</w:t>
      </w:r>
      <w:proofErr w:type="gram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) .</w:t>
      </w:r>
      <w:proofErr w:type="gram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This is the first attempt suggesting potential therapeutic value against highly pathogenic native ‘S 5’ strain of MAP giving a ray of hope for development of an herbal anti-MAP medication for domestic livestock which will pave way for therapy in human beings, since, it is a major infection associated with autoimmune disorders.</w:t>
      </w:r>
    </w:p>
    <w:p w:rsidR="005C0C86" w:rsidRDefault="005C0C86" w:rsidP="005C0C8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Srivastava, V., Navabharath, M., Gupta, S., Singh, S. V., &amp; Ahmad, S. (2022). Exploration of Solanum xanthocarpum Schrad. &amp; Wendl. against Mycobacterium avium Subspecies paratuberculosis and Assessment of Its Immunomodulatory and Anti-Inflammatory Potential. Pharmaceuticals, 15(11), 1367.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Navabharath, M., Srivastava, V., Gupta, S., Singh, S. V., &amp; Ahmad, S. (2023). Ursolic Acid and Solasodine as Potent Anti-Mycobacterial Agents for Combating Paratuberculosis: An Anti-Inflammatory and In Silico Analysis. Molecules, 28(1), 274.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Singh, S. V., Singh, P. K., Singh, A. V., Sohal, J. S., Kumar, N., Chaubey, K. K., ... &amp; Dhama, K. (2014). ‘Bio‐Load’and Bio‐Type Profiles of Mycobacterium avium subspecies paratuberculosis Infection in the Domestic Livestock Population Endemic for Johne's Disease: A Survey of 28 years (1985–2013) in India. Transboundary and emerging diseases, 61, 43-55.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Bo, M., Niegowska, M., Frau, J., Sechi, G., Arru, G., Cocco, E., &amp; Sechi, L. A. (2020). IL-2 and Mycobacterial Lipoarabinomannan as Targets of Immune Responses in Multiple Sclerosis Patients. Microorganisms, 8(4), 500.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Cossu, D., Mameli, G., Galleri, G., Cocco, E., Masala, S., Frau, J., ... &amp; Sechi, L. A. (2015). Human interferon regulatory factor 5 homologous epitopes of Epstein-Barr virus and Mycobacterium avium subsp. paratuberculosis induce a specific humoral and cellular immune response in multiple sclerosis patients. Multiple sclerosis journal, 21(8), 984-995.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Dow, C. T., &amp; Sechi, L. A. (2019). Cows get Crohn’s disease and they’re giving us diabetes. Microorganisms, 7(10), 466.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lastRenderedPageBreak/>
        <w:t>Masala, S., Cossu, D., Piccinini, S., Rapini, N., Mameli, G., Manca Bitti, M. L., &amp; Sechi, L. A. (2015). Proinsulin and MAP3865c homologous epitopes are a target of antibody response in new‐onset type 1 diabetes children from continental Italy. Pediatric Diabetes, 16(3), 189-195.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Gunathilake, K. D. P. P., Ranaweera, K. K. D. S., &amp; Rupasinghe, H. P. V. (2018). Influence of boiling, steaming and frying of selected leafy vegetables on the in vitro anti-inflammation associated biological activities. Plants, 7(1), 22.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Okoli, C. O., Akah, P. A., Onuoha, N. J., Okoye, T. C., Nwoye, A. C., &amp; Nworu, C. S. (2008). Acanthus montanus: An experimental evaluation of the antimicrobial, anti-inflammatory and immunological properties of a traditional remedy for furuncles. BMC complementary and alternative medicine, 8(1), 1-11.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Shinde, U. A., Phadke, A. S., Nair, A. M., Mungantiwar, A. A., Dikshit, V. J., &amp; Saraf, M. N. (1999). Membrane stabilizing activity—a possible mechanism of action for the anti-inflammatory activity of Cedrus deodara wood oil. Fitoterapia, 70(3), 251-257.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Raju, G. S., Moghal, M. R., Dewan, S. M. R., Amin, M. N., &amp; Billah, M. (2013). Characterization of phytoconstituents and evaluation of total phenolic content, anthelmintic, and antimicrobial activities of Solanum violaceum Ortega. Avicenna Journal of Phytomedicine, 3(4), 313.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Odhong', C., Wilkes, A., van Dijk, S., Vorlaufer, M., Ndonga, S., Sing'ora, B., &amp; Kenyanito, L. (2019). Financing large-scale mitigation by smallholder farmers: what roles for public climate finance?. Frontiers in Sustainable Food Systems, 3, 3.</w:t>
      </w:r>
    </w:p>
    <w:p w:rsidR="0015174B" w:rsidRDefault="0015174B" w:rsidP="005C0C8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</w:p>
    <w:p w:rsidR="005C0C86" w:rsidRDefault="005C0C86" w:rsidP="005C0C8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15174B" w:rsidRPr="0015174B" w:rsidRDefault="0015174B" w:rsidP="0015174B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15174B">
        <w:rPr>
          <w:rFonts w:ascii="Times New Roman" w:hAnsi="Times New Roman" w:cs="Times New Roman"/>
          <w:sz w:val="20"/>
          <w:szCs w:val="24"/>
          <w:lang w:val="en-US"/>
        </w:rPr>
        <w:t>Dr.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15174B">
        <w:rPr>
          <w:rFonts w:ascii="Times New Roman" w:hAnsi="Times New Roman" w:cs="Times New Roman"/>
          <w:sz w:val="20"/>
          <w:szCs w:val="24"/>
          <w:lang w:val="en-US"/>
        </w:rPr>
        <w:t>Shoor</w:t>
      </w:r>
      <w:proofErr w:type="spellEnd"/>
      <w:r w:rsidRPr="0015174B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15174B">
        <w:rPr>
          <w:rFonts w:ascii="Times New Roman" w:hAnsi="Times New Roman" w:cs="Times New Roman"/>
          <w:sz w:val="20"/>
          <w:szCs w:val="24"/>
          <w:lang w:val="en-US"/>
        </w:rPr>
        <w:t>Vir</w:t>
      </w:r>
      <w:proofErr w:type="spellEnd"/>
      <w:r w:rsidRPr="0015174B">
        <w:rPr>
          <w:rFonts w:ascii="Times New Roman" w:hAnsi="Times New Roman" w:cs="Times New Roman"/>
          <w:sz w:val="20"/>
          <w:szCs w:val="24"/>
          <w:lang w:val="en-US"/>
        </w:rPr>
        <w:t xml:space="preserve"> Singh has completed his PhD at the age of 42 years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from Veterinary College Mathura </w:t>
      </w:r>
      <w:r w:rsidRPr="0015174B">
        <w:rPr>
          <w:rFonts w:ascii="Times New Roman" w:hAnsi="Times New Roman" w:cs="Times New Roman"/>
          <w:sz w:val="20"/>
          <w:szCs w:val="24"/>
          <w:lang w:val="en-US"/>
        </w:rPr>
        <w:t xml:space="preserve">(CSA University of Agriculture &amp; Technology., Kanpur) and He is the Principal Scientist and Head of ICAR-Central Institute for Research on Goats, </w:t>
      </w:r>
      <w:proofErr w:type="spellStart"/>
      <w:r w:rsidRPr="0015174B">
        <w:rPr>
          <w:rFonts w:ascii="Times New Roman" w:hAnsi="Times New Roman" w:cs="Times New Roman"/>
          <w:sz w:val="20"/>
          <w:szCs w:val="24"/>
          <w:lang w:val="en-US"/>
        </w:rPr>
        <w:t>Makhdoom</w:t>
      </w:r>
      <w:proofErr w:type="spellEnd"/>
      <w:r w:rsidRPr="0015174B">
        <w:rPr>
          <w:rFonts w:ascii="Times New Roman" w:hAnsi="Times New Roman" w:cs="Times New Roman"/>
          <w:sz w:val="20"/>
          <w:szCs w:val="24"/>
          <w:lang w:val="en-US"/>
        </w:rPr>
        <w:t>, Farah, Mathura, UP. He is currently working the Professor &amp; Head Dept. of Biotechnology, GLA University, Mathura, UP.  He has published more than &gt;250 papers in reputed journals and International Awards: 12; National Awards: 24; Publications (Numbers only): 250</w:t>
      </w:r>
      <w:proofErr w:type="gramStart"/>
      <w:r w:rsidRPr="0015174B">
        <w:rPr>
          <w:rFonts w:ascii="Times New Roman" w:hAnsi="Times New Roman" w:cs="Times New Roman"/>
          <w:sz w:val="20"/>
          <w:szCs w:val="24"/>
          <w:lang w:val="en-US"/>
        </w:rPr>
        <w:t>;  Patents</w:t>
      </w:r>
      <w:proofErr w:type="gramEnd"/>
      <w:r w:rsidRPr="0015174B">
        <w:rPr>
          <w:rFonts w:ascii="Times New Roman" w:hAnsi="Times New Roman" w:cs="Times New Roman"/>
          <w:sz w:val="20"/>
          <w:szCs w:val="24"/>
          <w:lang w:val="en-US"/>
        </w:rPr>
        <w:t xml:space="preserve"> : 03; Projects (Ongoing): 07; Projects (Completed): 13; Abstracts: 100; Book /Chapters / Manuals: 22; Conference Proceeding Papers, Popular Articles, Bulletins: 87. </w:t>
      </w:r>
    </w:p>
    <w:p w:rsidR="00916288" w:rsidRPr="005C0C86" w:rsidRDefault="0015174B" w:rsidP="0015174B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sectPr w:rsidR="00916288" w:rsidRPr="005C0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92EA5"/>
    <w:multiLevelType w:val="hybridMultilevel"/>
    <w:tmpl w:val="D2D4B6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15174B"/>
    <w:rsid w:val="005C0C86"/>
    <w:rsid w:val="008077D4"/>
    <w:rsid w:val="00E913F5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customStyle="1" w:styleId="Normal1">
    <w:name w:val="Normal1"/>
    <w:rsid w:val="0015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customStyle="1" w:styleId="Normal1">
    <w:name w:val="Normal1"/>
    <w:rsid w:val="0015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2023-01-06T09:01:00Z</dcterms:created>
  <dcterms:modified xsi:type="dcterms:W3CDTF">2023-01-06T09:01:00Z</dcterms:modified>
</cp:coreProperties>
</file>