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57715" w14:textId="77777777" w:rsidR="00051099" w:rsidRPr="00051099" w:rsidRDefault="00051099" w:rsidP="00051099">
      <w:pPr>
        <w:suppressLineNumbers/>
        <w:spacing w:before="240" w:after="240"/>
        <w:jc w:val="center"/>
        <w:rPr>
          <w:b/>
          <w:sz w:val="32"/>
          <w:szCs w:val="32"/>
        </w:rPr>
      </w:pPr>
      <w:bookmarkStart w:id="0" w:name="_Hlk96525948"/>
      <w:r w:rsidRPr="00051099">
        <w:rPr>
          <w:b/>
          <w:sz w:val="32"/>
          <w:szCs w:val="32"/>
        </w:rPr>
        <w:t>Clinical Analysis of Pediatric Glaucoma in Central China</w:t>
      </w:r>
    </w:p>
    <w:bookmarkEnd w:id="0"/>
    <w:p w14:paraId="4B262A5C" w14:textId="77777777" w:rsidR="00051099" w:rsidRPr="00051099" w:rsidRDefault="00051099" w:rsidP="00051099">
      <w:pPr>
        <w:spacing w:before="240" w:after="240"/>
        <w:rPr>
          <w:b/>
        </w:rPr>
      </w:pPr>
      <w:r w:rsidRPr="00051099">
        <w:rPr>
          <w:b/>
        </w:rPr>
        <w:t>Qian Liu</w:t>
      </w:r>
      <w:r w:rsidRPr="00051099">
        <w:rPr>
          <w:b/>
          <w:vertAlign w:val="superscript"/>
        </w:rPr>
        <w:t>1*</w:t>
      </w:r>
      <w:r w:rsidRPr="00051099">
        <w:rPr>
          <w:b/>
        </w:rPr>
        <w:t xml:space="preserve">, </w:t>
      </w:r>
      <w:proofErr w:type="spellStart"/>
      <w:r w:rsidRPr="00051099">
        <w:rPr>
          <w:b/>
        </w:rPr>
        <w:t>Changgeng</w:t>
      </w:r>
      <w:proofErr w:type="spellEnd"/>
      <w:r w:rsidRPr="00051099">
        <w:rPr>
          <w:b/>
        </w:rPr>
        <w:t xml:space="preserve"> Liu</w:t>
      </w:r>
      <w:r w:rsidRPr="00051099">
        <w:rPr>
          <w:b/>
          <w:vertAlign w:val="superscript"/>
        </w:rPr>
        <w:t>1</w:t>
      </w:r>
      <w:r w:rsidRPr="00051099">
        <w:rPr>
          <w:b/>
        </w:rPr>
        <w:t xml:space="preserve">, </w:t>
      </w:r>
      <w:proofErr w:type="spellStart"/>
      <w:r w:rsidRPr="00051099">
        <w:rPr>
          <w:b/>
        </w:rPr>
        <w:t>Haijun</w:t>
      </w:r>
      <w:proofErr w:type="spellEnd"/>
      <w:r w:rsidRPr="00051099">
        <w:rPr>
          <w:b/>
        </w:rPr>
        <w:t xml:space="preserve"> Li</w:t>
      </w:r>
      <w:r w:rsidRPr="00051099">
        <w:rPr>
          <w:b/>
          <w:vertAlign w:val="superscript"/>
        </w:rPr>
        <w:t>1</w:t>
      </w:r>
      <w:r w:rsidRPr="00051099">
        <w:rPr>
          <w:b/>
        </w:rPr>
        <w:t xml:space="preserve">, </w:t>
      </w:r>
      <w:proofErr w:type="spellStart"/>
      <w:r w:rsidRPr="00051099">
        <w:rPr>
          <w:b/>
        </w:rPr>
        <w:t>Xiaoyuan</w:t>
      </w:r>
      <w:proofErr w:type="spellEnd"/>
      <w:r w:rsidRPr="00051099">
        <w:rPr>
          <w:b/>
        </w:rPr>
        <w:t xml:space="preserve"> Yang</w:t>
      </w:r>
      <w:r w:rsidRPr="00051099">
        <w:rPr>
          <w:b/>
          <w:vertAlign w:val="superscript"/>
        </w:rPr>
        <w:t>1</w:t>
      </w:r>
      <w:r w:rsidRPr="00051099">
        <w:rPr>
          <w:b/>
        </w:rPr>
        <w:t xml:space="preserve">, </w:t>
      </w:r>
      <w:proofErr w:type="spellStart"/>
      <w:r w:rsidRPr="00051099">
        <w:rPr>
          <w:b/>
        </w:rPr>
        <w:t>Yangzeng</w:t>
      </w:r>
      <w:proofErr w:type="spellEnd"/>
      <w:r w:rsidRPr="00051099">
        <w:rPr>
          <w:b/>
        </w:rPr>
        <w:t xml:space="preserve"> Dong</w:t>
      </w:r>
      <w:r w:rsidRPr="00051099">
        <w:rPr>
          <w:b/>
          <w:vertAlign w:val="superscript"/>
        </w:rPr>
        <w:t>1</w:t>
      </w:r>
      <w:r w:rsidRPr="00051099">
        <w:rPr>
          <w:b/>
        </w:rPr>
        <w:t xml:space="preserve">, </w:t>
      </w:r>
      <w:proofErr w:type="spellStart"/>
      <w:r w:rsidRPr="00051099">
        <w:rPr>
          <w:b/>
        </w:rPr>
        <w:t>Xiaomei</w:t>
      </w:r>
      <w:proofErr w:type="spellEnd"/>
      <w:r w:rsidRPr="00051099">
        <w:rPr>
          <w:b/>
        </w:rPr>
        <w:t xml:space="preserve"> Feng</w:t>
      </w:r>
      <w:r w:rsidRPr="00051099">
        <w:rPr>
          <w:b/>
          <w:vertAlign w:val="superscript"/>
        </w:rPr>
        <w:t>1</w:t>
      </w:r>
      <w:r w:rsidRPr="00051099">
        <w:rPr>
          <w:b/>
        </w:rPr>
        <w:t>, Wenjun Cheng</w:t>
      </w:r>
      <w:r w:rsidRPr="00051099">
        <w:rPr>
          <w:b/>
          <w:vertAlign w:val="superscript"/>
        </w:rPr>
        <w:t>1</w:t>
      </w:r>
    </w:p>
    <w:p w14:paraId="1233DB13" w14:textId="2D7C6A5F" w:rsidR="00051099" w:rsidRPr="00051099" w:rsidRDefault="00051099" w:rsidP="00051099">
      <w:pPr>
        <w:spacing w:before="240" w:after="240"/>
      </w:pPr>
      <w:r w:rsidRPr="00051099">
        <w:rPr>
          <w:vertAlign w:val="superscript"/>
        </w:rPr>
        <w:t>1</w:t>
      </w:r>
      <w:r w:rsidRPr="00051099">
        <w:t xml:space="preserve"> </w:t>
      </w:r>
      <w:r w:rsidRPr="00051099">
        <w:t>Henan Provincial People’s Hospital and Zhengzhou University People’s Hospital,</w:t>
      </w:r>
      <w:r w:rsidRPr="00051099">
        <w:t xml:space="preserve"> </w:t>
      </w:r>
      <w:r w:rsidRPr="00051099">
        <w:t>Henan Eye Hospital, Henan Eye Institute, Zhengzhou 450003, China</w:t>
      </w:r>
    </w:p>
    <w:p w14:paraId="6A681E99" w14:textId="77777777" w:rsidR="00051099" w:rsidRPr="00051099" w:rsidRDefault="00051099" w:rsidP="00051099">
      <w:pPr>
        <w:spacing w:before="240"/>
        <w:rPr>
          <w:b/>
          <w:bCs/>
        </w:rPr>
      </w:pPr>
      <w:r w:rsidRPr="00051099">
        <w:t>*</w:t>
      </w:r>
      <w:r w:rsidRPr="00051099">
        <w:rPr>
          <w:b/>
          <w:bCs/>
        </w:rPr>
        <w:t>Correspondence:</w:t>
      </w:r>
    </w:p>
    <w:p w14:paraId="376AC45A" w14:textId="77777777" w:rsidR="00051099" w:rsidRPr="00051099" w:rsidRDefault="00051099" w:rsidP="00051099">
      <w:bookmarkStart w:id="1" w:name="_Hlk96525981"/>
      <w:r w:rsidRPr="00051099">
        <w:t>Qian Liu, MD, PhD</w:t>
      </w:r>
    </w:p>
    <w:p w14:paraId="15FB7256" w14:textId="77777777" w:rsidR="00051099" w:rsidRPr="00051099" w:rsidRDefault="00051099" w:rsidP="00051099">
      <w:r w:rsidRPr="00051099">
        <w:t>Henan Eye Institute, Henan Eye Hospital</w:t>
      </w:r>
    </w:p>
    <w:p w14:paraId="6A5E0536" w14:textId="77777777" w:rsidR="00051099" w:rsidRPr="00051099" w:rsidRDefault="00051099" w:rsidP="00051099">
      <w:r w:rsidRPr="00051099">
        <w:t xml:space="preserve">No. 7 </w:t>
      </w:r>
      <w:proofErr w:type="spellStart"/>
      <w:r w:rsidRPr="00051099">
        <w:t>Weiwu</w:t>
      </w:r>
      <w:proofErr w:type="spellEnd"/>
      <w:r w:rsidRPr="00051099">
        <w:t xml:space="preserve"> Road, Zhengzhou 450003, Henan, China</w:t>
      </w:r>
    </w:p>
    <w:p w14:paraId="33FADCC2" w14:textId="77777777" w:rsidR="00051099" w:rsidRPr="00051099" w:rsidRDefault="00051099" w:rsidP="00051099">
      <w:r w:rsidRPr="00051099">
        <w:t>Tel: +8615238312317</w:t>
      </w:r>
    </w:p>
    <w:p w14:paraId="39F3C6C8" w14:textId="77777777" w:rsidR="00051099" w:rsidRPr="00051099" w:rsidRDefault="00051099" w:rsidP="00051099">
      <w:pPr>
        <w:rPr>
          <w:b/>
        </w:rPr>
      </w:pPr>
      <w:r w:rsidRPr="00051099">
        <w:t>439640104@qq.com</w:t>
      </w:r>
      <w:bookmarkEnd w:id="1"/>
    </w:p>
    <w:p w14:paraId="581DCB5C" w14:textId="77777777" w:rsidR="00051099" w:rsidRPr="00051099" w:rsidRDefault="00051099" w:rsidP="00051099">
      <w:pPr>
        <w:spacing w:before="240"/>
        <w:rPr>
          <w:b/>
        </w:rPr>
      </w:pPr>
      <w:r w:rsidRPr="00051099">
        <w:rPr>
          <w:b/>
        </w:rPr>
        <w:t>Keywords: pediatric glaucoma, trabeculotomy, juvenile open-angle glaucoma, primary congenital glaucoma, intraocular pressure</w:t>
      </w:r>
    </w:p>
    <w:p w14:paraId="0A0F670F" w14:textId="77777777" w:rsidR="00051099" w:rsidRPr="00051099" w:rsidRDefault="00051099" w:rsidP="00051099">
      <w:pPr>
        <w:spacing w:before="240"/>
        <w:rPr>
          <w:b/>
        </w:rPr>
      </w:pPr>
      <w:r w:rsidRPr="00051099">
        <w:rPr>
          <w:b/>
        </w:rPr>
        <w:t xml:space="preserve">Abstract </w:t>
      </w:r>
    </w:p>
    <w:p w14:paraId="0BF16DBD" w14:textId="77777777" w:rsidR="00051099" w:rsidRPr="00051099" w:rsidRDefault="00051099" w:rsidP="00051099">
      <w:r w:rsidRPr="00051099">
        <w:rPr>
          <w:b/>
        </w:rPr>
        <w:t xml:space="preserve">Purpose: </w:t>
      </w:r>
      <w:r w:rsidRPr="00051099">
        <w:t>We aimed to describe the characteristics, epidemiology, management, and outcomes of glaucoma in pediatric patients in central China.</w:t>
      </w:r>
    </w:p>
    <w:p w14:paraId="480BA37B" w14:textId="77777777" w:rsidR="00051099" w:rsidRPr="00051099" w:rsidRDefault="00051099" w:rsidP="00051099">
      <w:r w:rsidRPr="00051099">
        <w:rPr>
          <w:b/>
        </w:rPr>
        <w:t>Methods:</w:t>
      </w:r>
      <w:r w:rsidRPr="00051099">
        <w:t xml:space="preserve"> This study retrospectively analyzed inpatients with pediatric glaucoma at Henan Provincial People’s Hospital, Henan Eye Institute, and Henan Eye Hospital between 2017 and 2020.</w:t>
      </w:r>
    </w:p>
    <w:p w14:paraId="018B8BE4" w14:textId="501F4E8A" w:rsidR="00051099" w:rsidRPr="00051099" w:rsidRDefault="00051099" w:rsidP="00051099">
      <w:pPr>
        <w:pStyle w:val="a5"/>
        <w:widowControl/>
        <w:spacing w:beforeAutospacing="0" w:afterAutospacing="0" w:line="368" w:lineRule="atLeast"/>
        <w:jc w:val="both"/>
      </w:pPr>
      <w:r w:rsidRPr="00051099">
        <w:rPr>
          <w:b/>
        </w:rPr>
        <w:t xml:space="preserve">Results: </w:t>
      </w:r>
      <w:r w:rsidRPr="00051099">
        <w:t>Overall, 239 cases (276 eyes) of pediatric glaucoma in patients, comprising 87 girls (36.40%) and 152 boys (63.60%) were analyzed. The mean age was 6.65±4.46, and 2.93% of the patients had a family history of glaucoma. Primary congenital glaucoma (PCG) was the most common type of glaucoma, followed by traumatic glaucoma in 8.33% of the patients, which was considered secondary glaucoma. The most common signs and symptoms were elevated intraocular pressure (IOP) and eye pain. Trabeculotomy (</w:t>
      </w:r>
      <w:proofErr w:type="spellStart"/>
      <w:r w:rsidRPr="00051099">
        <w:t>Trab</w:t>
      </w:r>
      <w:proofErr w:type="spellEnd"/>
      <w:r w:rsidRPr="00051099">
        <w:t xml:space="preserve">) and microcatheter-assisted 360° trabeculotomy (MAT) combined with </w:t>
      </w:r>
      <w:proofErr w:type="spellStart"/>
      <w:r w:rsidRPr="00051099">
        <w:t>Trab</w:t>
      </w:r>
      <w:proofErr w:type="spellEnd"/>
      <w:r w:rsidRPr="00051099">
        <w:t xml:space="preserve"> were the </w:t>
      </w:r>
      <w:proofErr w:type="gramStart"/>
      <w:r w:rsidRPr="00051099">
        <w:t>most commonly performed</w:t>
      </w:r>
      <w:proofErr w:type="gramEnd"/>
      <w:r w:rsidRPr="00051099">
        <w:t xml:space="preserve"> surgeries. The IOP of patients with PCG, juvenile open-angle glaucoma (JOAG), and secondary glaucoma were 15.27 ± 7.48 mmHg, 17.16±10.05, and 18.65±8.55, respectively, at the final follow up. The rate of re-operations in patients with PCG, JOAG, and secondary glaucoma were 9.15%, 6.78%, and 4.69%, respectively. The mean visual acuity of the eyes with PCG, JOAG, and secondary glaucoma was 0.79±0.68, 0.51±0.48, and 0.53±0.50, respectively. There were 135cases (150eyes) before the epidemic of novel coronavirus and 93 cases (105eyes) after the epidemic of </w:t>
      </w:r>
      <w:r>
        <w:t>COVID-19</w:t>
      </w:r>
      <w:r w:rsidRPr="00051099">
        <w:t xml:space="preserve">. Primary congenital glaucoma (PCG) was the most common type before and after the epidemic of novel coronavirus, accounting for 67.41% and 67.74%, respectively, while developmental glaucoma was the most </w:t>
      </w:r>
      <w:r w:rsidRPr="00051099">
        <w:lastRenderedPageBreak/>
        <w:t>significant difference before and after novel coronavirus's epidemic, 14.07% and 26.88%, respectively. The most common signs of novel coronavirus before and after the epidemic were elevated IOP, which were 33.33% and 38.91% respectively. The other 11 cases were treated before and after the epidemic of novel coronavirus, 7 cases were treated with binocular therapy, and 4 cases with the same eye.</w:t>
      </w:r>
    </w:p>
    <w:p w14:paraId="61825403" w14:textId="77777777" w:rsidR="00051099" w:rsidRPr="00051099" w:rsidRDefault="00051099" w:rsidP="00051099">
      <w:pPr>
        <w:pStyle w:val="a3"/>
        <w:rPr>
          <w:rFonts w:ascii="Times New Roman" w:eastAsia="Times New Roman" w:hAnsi="Times New Roman" w:cs="Times New Roman"/>
          <w:kern w:val="0"/>
          <w:sz w:val="24"/>
        </w:rPr>
      </w:pPr>
    </w:p>
    <w:p w14:paraId="5FDDDB0B" w14:textId="77777777" w:rsidR="00051099" w:rsidRPr="00051099" w:rsidRDefault="00051099" w:rsidP="00051099"/>
    <w:p w14:paraId="5D292623" w14:textId="77777777" w:rsidR="00051099" w:rsidRDefault="00051099" w:rsidP="00051099">
      <w:pPr>
        <w:pStyle w:val="a5"/>
        <w:widowControl/>
        <w:spacing w:beforeAutospacing="0" w:afterAutospacing="0" w:line="368" w:lineRule="atLeast"/>
        <w:jc w:val="both"/>
      </w:pPr>
      <w:r w:rsidRPr="00051099">
        <w:rPr>
          <w:b/>
        </w:rPr>
        <w:t xml:space="preserve">Conclusion: </w:t>
      </w:r>
      <w:r w:rsidRPr="00051099">
        <w:t xml:space="preserve">PCG, JOAG, and traumatic glaucoma were the most prevalent subtypes in patients with pediatric glaucoma in central China. </w:t>
      </w:r>
      <w:proofErr w:type="spellStart"/>
      <w:r w:rsidRPr="00051099">
        <w:t>Trab</w:t>
      </w:r>
      <w:proofErr w:type="spellEnd"/>
      <w:r w:rsidRPr="00051099">
        <w:t xml:space="preserve"> and MAT combined with </w:t>
      </w:r>
      <w:proofErr w:type="spellStart"/>
      <w:r w:rsidRPr="00051099">
        <w:t>Trab</w:t>
      </w:r>
      <w:proofErr w:type="spellEnd"/>
      <w:r w:rsidRPr="00051099">
        <w:t xml:space="preserve"> were the most common interventions used in this study. Pediatric amblyopia might require full attention during the entire treatment, especially after glaucoma surgery. Effective preventive measures and more public education on glaucoma prevention and the importance of early diagnosis and treatment is necessary.</w:t>
      </w:r>
      <w:r>
        <w:t xml:space="preserve"> </w:t>
      </w:r>
    </w:p>
    <w:p w14:paraId="0EA8F132" w14:textId="77777777" w:rsidR="00051099" w:rsidRDefault="00051099" w:rsidP="00051099">
      <w:pPr>
        <w:pStyle w:val="a5"/>
        <w:widowControl/>
        <w:spacing w:beforeAutospacing="0" w:afterAutospacing="0" w:line="368" w:lineRule="atLeast"/>
        <w:jc w:val="both"/>
      </w:pPr>
    </w:p>
    <w:p w14:paraId="03700EDB" w14:textId="77777777" w:rsidR="00BD3720" w:rsidRPr="00051099" w:rsidRDefault="00BD3720" w:rsidP="00051099">
      <w:pPr>
        <w:pStyle w:val="a5"/>
        <w:widowControl/>
        <w:spacing w:beforeAutospacing="0" w:afterAutospacing="0" w:line="368" w:lineRule="atLeast"/>
        <w:jc w:val="both"/>
      </w:pPr>
    </w:p>
    <w:sectPr w:rsidR="00BD3720" w:rsidRPr="0005109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099"/>
    <w:rsid w:val="00051099"/>
    <w:rsid w:val="00BD3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F559F"/>
  <w15:chartTrackingRefBased/>
  <w15:docId w15:val="{D4A38934-BF21-4385-84EE-A9ED8564E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099"/>
    <w:rPr>
      <w:rFonts w:ascii="Times New Roman" w:eastAsia="Times New Roman" w:hAnsi="Times New Roman" w:cs="Times New Roman"/>
      <w:kern w:val="0"/>
      <w:sz w:val="24"/>
      <w:szCs w:val="24"/>
      <w:lang w:val="en-PH"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aliases w:val="Char11,字元, 字元"/>
    <w:basedOn w:val="a"/>
    <w:link w:val="a4"/>
    <w:qFormat/>
    <w:rsid w:val="00051099"/>
    <w:pPr>
      <w:widowControl w:val="0"/>
    </w:pPr>
    <w:rPr>
      <w:rFonts w:asciiTheme="minorHAnsi" w:eastAsiaTheme="minorEastAsia" w:hAnsiTheme="minorHAnsi" w:cstheme="minorBidi"/>
      <w:kern w:val="2"/>
      <w:sz w:val="21"/>
      <w:szCs w:val="22"/>
      <w:lang w:val="en-US" w:eastAsia="zh-CN"/>
    </w:rPr>
  </w:style>
  <w:style w:type="character" w:customStyle="1" w:styleId="a4">
    <w:name w:val="批注文字 字符"/>
    <w:aliases w:val="Char11 字符,字元 字符, 字元 字符"/>
    <w:basedOn w:val="a0"/>
    <w:link w:val="a3"/>
    <w:qFormat/>
    <w:rsid w:val="00051099"/>
  </w:style>
  <w:style w:type="paragraph" w:styleId="a5">
    <w:name w:val="Normal (Web)"/>
    <w:basedOn w:val="a"/>
    <w:qFormat/>
    <w:rsid w:val="00051099"/>
    <w:pPr>
      <w:widowControl w:val="0"/>
      <w:autoSpaceDE w:val="0"/>
      <w:autoSpaceDN w:val="0"/>
      <w:spacing w:beforeAutospacing="1" w:afterAutospacing="1"/>
    </w:pPr>
    <w:rPr>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476</Words>
  <Characters>2715</Characters>
  <Application>Microsoft Office Word</Application>
  <DocSecurity>0</DocSecurity>
  <Lines>22</Lines>
  <Paragraphs>6</Paragraphs>
  <ScaleCrop>false</ScaleCrop>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 L</dc:creator>
  <cp:keywords/>
  <dc:description/>
  <cp:lastModifiedBy>Qian L</cp:lastModifiedBy>
  <cp:revision>1</cp:revision>
  <dcterms:created xsi:type="dcterms:W3CDTF">2022-06-12T09:40:00Z</dcterms:created>
  <dcterms:modified xsi:type="dcterms:W3CDTF">2022-06-12T09:43:00Z</dcterms:modified>
</cp:coreProperties>
</file>