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F933C" w14:textId="16A3F44F" w:rsidR="00CF61CA" w:rsidRPr="00C47335" w:rsidRDefault="00CF61CA" w:rsidP="00C47335">
      <w:pPr>
        <w:pStyle w:val="1"/>
        <w:spacing w:before="170"/>
        <w:jc w:val="both"/>
        <w:rPr>
          <w:color w:val="337AB7"/>
        </w:rPr>
      </w:pPr>
      <w:r w:rsidRPr="00CF61CA">
        <w:rPr>
          <w:color w:val="337AB7"/>
        </w:rPr>
        <w:t>Efficacy of β blockers on clinical outcomes in real</w:t>
      </w:r>
      <w:r w:rsidR="00FD4783">
        <w:rPr>
          <w:color w:val="337AB7"/>
        </w:rPr>
        <w:t>-</w:t>
      </w:r>
      <w:r w:rsidRPr="00CF61CA">
        <w:rPr>
          <w:color w:val="337AB7"/>
        </w:rPr>
        <w:t>world patients with essential hypertension and coronary artery disease</w:t>
      </w:r>
    </w:p>
    <w:p w14:paraId="5153DC56" w14:textId="5D121C24" w:rsidR="00CF61CA" w:rsidRPr="00924DB2" w:rsidRDefault="00CF61CA" w:rsidP="009B3BC3">
      <w:pPr>
        <w:pStyle w:val="a3"/>
        <w:spacing w:before="73" w:line="198" w:lineRule="exact"/>
        <w:ind w:left="100" w:right="5987"/>
        <w:rPr>
          <w:rFonts w:ascii="Arial"/>
        </w:rPr>
      </w:pPr>
      <w:r w:rsidRPr="00924DB2">
        <w:rPr>
          <w:rFonts w:ascii="Arial"/>
        </w:rPr>
        <w:t xml:space="preserve">Liu Haiping, </w:t>
      </w:r>
      <w:r w:rsidR="009B3BC3" w:rsidRPr="00924DB2">
        <w:rPr>
          <w:rFonts w:ascii="Arial"/>
        </w:rPr>
        <w:t>MM</w:t>
      </w:r>
      <w:r w:rsidR="00924DB2" w:rsidRPr="00924DB2">
        <w:rPr>
          <w:rFonts w:ascii="宋体" w:eastAsia="宋体" w:hAnsi="宋体" w:cs="宋体"/>
          <w:lang w:eastAsia="zh-CN"/>
        </w:rPr>
        <w:t xml:space="preserve">, </w:t>
      </w:r>
      <w:r w:rsidR="00FD4783" w:rsidRPr="00924DB2">
        <w:rPr>
          <w:rFonts w:ascii="Arial"/>
        </w:rPr>
        <w:t>Medical School of Chinese PLA, Chinese PLA General Hospital, Institute of Geriatrics, The Second Medical Center and National Clinical Research Center for Geriatric Diseases, China</w:t>
      </w:r>
    </w:p>
    <w:p w14:paraId="0F635A62" w14:textId="0E535AA3" w:rsidR="008C3D45" w:rsidRDefault="00CF61CA" w:rsidP="009B3BC3">
      <w:pPr>
        <w:pStyle w:val="a3"/>
        <w:spacing w:before="73" w:line="198" w:lineRule="exact"/>
        <w:ind w:left="100" w:right="5987"/>
        <w:rPr>
          <w:rFonts w:ascii="Arial"/>
        </w:rPr>
      </w:pPr>
      <w:r w:rsidRPr="00924DB2">
        <w:rPr>
          <w:rFonts w:ascii="Arial"/>
        </w:rPr>
        <w:t>Yin Tong</w:t>
      </w:r>
      <w:r w:rsidR="00FD4783" w:rsidRPr="00924DB2">
        <w:rPr>
          <w:rFonts w:ascii="Arial"/>
        </w:rPr>
        <w:t xml:space="preserve">, </w:t>
      </w:r>
      <w:r w:rsidR="009B3BC3" w:rsidRPr="00924DB2">
        <w:rPr>
          <w:rFonts w:ascii="Arial"/>
        </w:rPr>
        <w:t>P</w:t>
      </w:r>
      <w:r w:rsidR="009B3BC3" w:rsidRPr="00924DB2">
        <w:rPr>
          <w:rFonts w:ascii="Arial" w:hint="eastAsia"/>
        </w:rPr>
        <w:t>h</w:t>
      </w:r>
      <w:r w:rsidR="009B3BC3" w:rsidRPr="00924DB2">
        <w:rPr>
          <w:rFonts w:ascii="Arial"/>
        </w:rPr>
        <w:t xml:space="preserve">D, </w:t>
      </w:r>
      <w:r w:rsidR="00FD4783" w:rsidRPr="00924DB2">
        <w:rPr>
          <w:rFonts w:ascii="Arial"/>
        </w:rPr>
        <w:t>Medical School of Chinese PLA, Chinese PLA General Hospital, Institute of Geriatrics, The Second Medical Center and National Clinical Research Center for Geriatric Diseases, China</w:t>
      </w:r>
    </w:p>
    <w:p w14:paraId="41E287BA" w14:textId="77777777" w:rsidR="00AE3E37" w:rsidRDefault="00AE3E37">
      <w:pPr>
        <w:pStyle w:val="a3"/>
        <w:rPr>
          <w:rFonts w:ascii="Arial"/>
          <w:sz w:val="20"/>
        </w:rPr>
      </w:pPr>
    </w:p>
    <w:p w14:paraId="2A7DBB7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48EB135" w14:textId="77777777" w:rsidR="00AE3E37" w:rsidRDefault="00A9710C">
      <w:pPr>
        <w:pStyle w:val="3"/>
        <w:spacing w:before="147"/>
        <w:jc w:val="both"/>
      </w:pPr>
      <w:r>
        <w:rPr>
          <w:color w:val="BF5A14"/>
        </w:rPr>
        <w:t>Abstract</w:t>
      </w:r>
      <w:r w:rsidR="00404E5B">
        <w:rPr>
          <w:color w:val="BF5A14"/>
        </w:rPr>
        <w:t xml:space="preserve"> (300 word limit)</w:t>
      </w:r>
    </w:p>
    <w:p w14:paraId="61310F53" w14:textId="5F6D2B87" w:rsidR="00AE3E37" w:rsidRDefault="002F25EA">
      <w:pPr>
        <w:pStyle w:val="a3"/>
        <w:spacing w:before="90" w:line="280" w:lineRule="auto"/>
        <w:ind w:left="100"/>
        <w:jc w:val="both"/>
      </w:pPr>
      <w:r w:rsidRPr="002F25EA">
        <w:t xml:space="preserve">To investigate the efficacy of </w:t>
      </w:r>
      <w:r w:rsidRPr="002F25EA">
        <w:rPr>
          <w:rFonts w:ascii="Cambria" w:hAnsi="Cambria" w:cs="Cambria"/>
        </w:rPr>
        <w:t>β</w:t>
      </w:r>
      <w:r w:rsidRPr="002F25EA">
        <w:t>-blocker therapy on the clinical outcomes of patients with essential hypertension combined with coronary artery disease</w:t>
      </w:r>
      <w:r w:rsidR="00C47335">
        <w:t xml:space="preserve"> (CAD)</w:t>
      </w:r>
      <w:r w:rsidRPr="002F25EA">
        <w:t xml:space="preserve"> in the real world. Patients who</w:t>
      </w:r>
      <w:r w:rsidR="009D63F4">
        <w:t xml:space="preserve"> </w:t>
      </w:r>
      <w:r w:rsidRPr="002F25EA">
        <w:t>diagnosed with essential hypertension and</w:t>
      </w:r>
      <w:r w:rsidR="00C47335">
        <w:t xml:space="preserve"> CAD</w:t>
      </w:r>
      <w:r w:rsidRPr="002F25EA">
        <w:t xml:space="preserve"> during hospitalization from December 2015 to February 2017 were recruited consecutively. All patients were followed up for 5 years, and major adverse cardiovascular events (MACE, defined as s a composite of all-cause mortality, non-fatal stroke, non-fatal myocardial infarction or heart failure) and blood pressure [uncontrolled blood pressure: systolic blood pressure ≥140mmHg and/or diastolic blood pressure ≥90mmHg] were observed. A total of 615 patients</w:t>
      </w:r>
      <w:r w:rsidR="00C47335">
        <w:t xml:space="preserve"> </w:t>
      </w:r>
      <w:r w:rsidRPr="002F25EA">
        <w:t xml:space="preserve">were enrolled, including 418 males and 197 females, aged 37~92 (64.14±10.32) years, of whom 441 patients (71.71%) were received </w:t>
      </w:r>
      <w:r w:rsidRPr="002F25EA">
        <w:rPr>
          <w:rFonts w:ascii="Cambria" w:hAnsi="Cambria" w:cs="Cambria"/>
        </w:rPr>
        <w:t>β</w:t>
      </w:r>
      <w:r w:rsidRPr="002F25EA">
        <w:t>-blocker therapy throughout the 5 year</w:t>
      </w:r>
      <w:r w:rsidR="00553F45">
        <w:t>s</w:t>
      </w:r>
      <w:r w:rsidRPr="002F25EA">
        <w:t xml:space="preserve"> follow up period. Compared to </w:t>
      </w:r>
      <w:r w:rsidR="0052122A" w:rsidRPr="0052122A">
        <w:rPr>
          <w:rFonts w:hint="eastAsia"/>
        </w:rPr>
        <w:t>non</w:t>
      </w:r>
      <w:r w:rsidR="0052122A">
        <w:t>-</w:t>
      </w:r>
      <w:r w:rsidR="0052122A" w:rsidRPr="0052122A">
        <w:rPr>
          <w:rFonts w:ascii="Cambria" w:hAnsi="Cambria" w:cs="Cambria"/>
        </w:rPr>
        <w:t>β</w:t>
      </w:r>
      <w:r w:rsidR="0052122A" w:rsidRPr="002F25EA">
        <w:t>-blocker treated patients</w:t>
      </w:r>
      <w:r w:rsidRPr="002F25EA">
        <w:t xml:space="preserve">, the </w:t>
      </w:r>
      <w:r w:rsidRPr="002F25EA">
        <w:rPr>
          <w:rFonts w:ascii="Cambria" w:hAnsi="Cambria" w:cs="Cambria"/>
        </w:rPr>
        <w:t>β</w:t>
      </w:r>
      <w:r w:rsidRPr="002F25EA">
        <w:t xml:space="preserve">-blocker treated patients were younger, with higher rates of myocardial infarction history and medication of nitrates and statins, lower rates of chronic bronchitis and renal insufficiency. There were no significant differences in sex category, smoking history, diuretics, angiotensin converting enzyme inhibitors, angiotensin receptor antagonists, and calcium channel blockers between </w:t>
      </w:r>
      <w:r w:rsidRPr="002F25EA">
        <w:rPr>
          <w:rFonts w:ascii="Cambria" w:hAnsi="Cambria" w:cs="Cambria"/>
        </w:rPr>
        <w:t>β</w:t>
      </w:r>
      <w:r w:rsidRPr="002F25EA">
        <w:t xml:space="preserve">-blocker treated patients and untreated patients. Multivariate logistic regression analysis found that use of </w:t>
      </w:r>
      <w:r w:rsidRPr="002F25EA">
        <w:rPr>
          <w:rFonts w:ascii="Cambria" w:hAnsi="Cambria" w:cs="Cambria"/>
        </w:rPr>
        <w:t>β</w:t>
      </w:r>
      <w:r w:rsidRPr="002F25EA">
        <w:t xml:space="preserve">-blocker </w:t>
      </w:r>
      <w:r w:rsidR="00553F45">
        <w:t>can</w:t>
      </w:r>
      <w:r w:rsidRPr="002F25EA">
        <w:t xml:space="preserve"> reduce the risk of 5</w:t>
      </w:r>
      <w:r w:rsidR="00553F45">
        <w:t>-</w:t>
      </w:r>
      <w:r w:rsidRPr="002F25EA">
        <w:t xml:space="preserve">year MACE in patients with hypertension and </w:t>
      </w:r>
      <w:r w:rsidR="00C47335">
        <w:t>CAD</w:t>
      </w:r>
      <w:r w:rsidRPr="002F25EA">
        <w:t xml:space="preserve"> (9.75% vs. 20.11%</w:t>
      </w:r>
      <w:r w:rsidR="00553F45">
        <w:rPr>
          <w:rFonts w:ascii="宋体" w:eastAsia="宋体" w:hAnsi="宋体" w:cs="宋体" w:hint="eastAsia"/>
          <w:lang w:eastAsia="zh-CN"/>
        </w:rPr>
        <w:t>,</w:t>
      </w:r>
      <w:r w:rsidR="00553F45">
        <w:rPr>
          <w:rFonts w:ascii="宋体" w:eastAsia="宋体" w:hAnsi="宋体" w:cs="宋体"/>
          <w:lang w:eastAsia="zh-CN"/>
        </w:rPr>
        <w:t xml:space="preserve"> </w:t>
      </w:r>
      <w:r w:rsidRPr="002F25EA">
        <w:t xml:space="preserve">P=0.019). The blood pressure uncontrolled rate is significantly reduced in </w:t>
      </w:r>
      <w:r w:rsidRPr="002F25EA">
        <w:rPr>
          <w:rFonts w:ascii="Cambria" w:hAnsi="Cambria" w:cs="Cambria"/>
        </w:rPr>
        <w:t>β</w:t>
      </w:r>
      <w:r w:rsidRPr="002F25EA">
        <w:t>-blocker</w:t>
      </w:r>
      <w:r w:rsidR="00553F45" w:rsidRPr="00553F45">
        <w:t xml:space="preserve"> </w:t>
      </w:r>
      <w:r w:rsidR="00553F45" w:rsidRPr="002F25EA">
        <w:t>treated</w:t>
      </w:r>
      <w:r w:rsidR="00553F45" w:rsidRPr="00553F45">
        <w:t xml:space="preserve"> </w:t>
      </w:r>
      <w:r w:rsidR="00553F45" w:rsidRPr="002F25EA">
        <w:t>patients</w:t>
      </w:r>
      <w:r w:rsidRPr="002F25EA">
        <w:t xml:space="preserve"> (45.13% vs 48.85%</w:t>
      </w:r>
      <w:r w:rsidR="00553F45">
        <w:rPr>
          <w:rFonts w:ascii="宋体" w:eastAsia="宋体" w:hAnsi="宋体" w:cs="宋体" w:hint="eastAsia"/>
          <w:lang w:eastAsia="zh-CN"/>
        </w:rPr>
        <w:t>,</w:t>
      </w:r>
      <w:r w:rsidR="00553F45" w:rsidRPr="002F25EA">
        <w:t xml:space="preserve"> </w:t>
      </w:r>
      <w:r w:rsidRPr="002F25EA">
        <w:t xml:space="preserve">P=0.044). Age subgroup analyses showed a significant reduction of the risk of MACE in patients ≥ 65 years with </w:t>
      </w:r>
      <w:r w:rsidRPr="002F25EA">
        <w:rPr>
          <w:rFonts w:ascii="Cambria" w:hAnsi="Cambria" w:cs="Cambria"/>
        </w:rPr>
        <w:t>β</w:t>
      </w:r>
      <w:r w:rsidRPr="002F25EA">
        <w:t>-blocker therapy (11.43% vs 28.72%</w:t>
      </w:r>
      <w:r w:rsidR="00553F45">
        <w:rPr>
          <w:rFonts w:ascii="宋体" w:eastAsia="宋体" w:hAnsi="宋体" w:cs="宋体" w:hint="eastAsia"/>
          <w:lang w:eastAsia="zh-CN"/>
        </w:rPr>
        <w:t>,</w:t>
      </w:r>
      <w:r w:rsidR="00553F45">
        <w:rPr>
          <w:rFonts w:ascii="宋体" w:eastAsia="宋体" w:hAnsi="宋体" w:cs="宋体"/>
          <w:lang w:eastAsia="zh-CN"/>
        </w:rPr>
        <w:t xml:space="preserve"> </w:t>
      </w:r>
      <w:r w:rsidRPr="002F25EA">
        <w:t xml:space="preserve">P=0.014), while the benefit of </w:t>
      </w:r>
      <w:r w:rsidRPr="002F25EA">
        <w:rPr>
          <w:rFonts w:ascii="Cambria" w:hAnsi="Cambria" w:cs="Cambria"/>
        </w:rPr>
        <w:t>β</w:t>
      </w:r>
      <w:r w:rsidRPr="002F25EA">
        <w:t>-blockers on systolic blood pressure control was observed only in patients &lt; 65 years (29.70% vs 33.75%</w:t>
      </w:r>
      <w:r w:rsidR="00553F45">
        <w:t xml:space="preserve">, </w:t>
      </w:r>
      <w:r w:rsidRPr="002F25EA">
        <w:t>P=0.034).</w:t>
      </w:r>
      <w:r w:rsidR="00553F45" w:rsidRPr="00553F45">
        <w:t xml:space="preserve"> </w:t>
      </w:r>
      <w:r w:rsidR="00553F45" w:rsidRPr="00553F45">
        <w:rPr>
          <w:rFonts w:ascii="Cambria" w:hAnsi="Cambria" w:cs="Cambria"/>
        </w:rPr>
        <w:t>β</w:t>
      </w:r>
      <w:r w:rsidR="00553F45" w:rsidRPr="00553F45">
        <w:t xml:space="preserve">-blockers could reduce the risk of MACE and blood pressure uncontrolled rate in patients with essential hypertension and </w:t>
      </w:r>
      <w:r w:rsidR="00553F45">
        <w:t>CAD</w:t>
      </w:r>
      <w:r w:rsidR="00553F45" w:rsidRPr="00553F45">
        <w:t>, and the benefits are affected by age</w:t>
      </w:r>
      <w:r w:rsidR="00553F45">
        <w:t>.</w:t>
      </w:r>
    </w:p>
    <w:p w14:paraId="3225D186" w14:textId="77DAB590" w:rsidR="00AE3E37" w:rsidRDefault="00A9710C">
      <w:pPr>
        <w:pStyle w:val="3"/>
        <w:spacing w:before="74"/>
      </w:pPr>
      <w:r>
        <w:rPr>
          <w:b w:val="0"/>
        </w:rPr>
        <w:br w:type="column"/>
      </w:r>
      <w:r>
        <w:rPr>
          <w:color w:val="BF5A14"/>
        </w:rPr>
        <w:t>Image</w:t>
      </w:r>
    </w:p>
    <w:p w14:paraId="6FE3CA82" w14:textId="07AA2769" w:rsidR="00AE3E37" w:rsidRDefault="00641C5E">
      <w:pPr>
        <w:pStyle w:val="a3"/>
        <w:spacing w:before="2"/>
        <w:rPr>
          <w:rFonts w:ascii="Arial"/>
          <w:b/>
          <w:sz w:val="16"/>
        </w:rPr>
      </w:pPr>
      <w:r w:rsidRPr="00641C5E">
        <w:rPr>
          <w:rFonts w:ascii="Arial"/>
          <w:b/>
          <w:noProof/>
          <w:sz w:val="16"/>
        </w:rPr>
        <w:drawing>
          <wp:inline distT="0" distB="0" distL="0" distR="0" wp14:anchorId="67EA214E" wp14:editId="5E2BA6BF">
            <wp:extent cx="3376613" cy="4643120"/>
            <wp:effectExtent l="0" t="0" r="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7574" cy="4644442"/>
                    </a:xfrm>
                    <a:prstGeom prst="rect">
                      <a:avLst/>
                    </a:prstGeom>
                    <a:noFill/>
                    <a:ln>
                      <a:noFill/>
                    </a:ln>
                  </pic:spPr>
                </pic:pic>
              </a:graphicData>
            </a:graphic>
          </wp:inline>
        </w:drawing>
      </w:r>
    </w:p>
    <w:p w14:paraId="4EF9E307" w14:textId="71E99DDC" w:rsidR="002C379B" w:rsidRDefault="006B1A33">
      <w:pPr>
        <w:pStyle w:val="a3"/>
        <w:spacing w:before="2"/>
        <w:rPr>
          <w:rFonts w:ascii="Arial"/>
          <w:b/>
          <w:sz w:val="16"/>
        </w:rPr>
      </w:pPr>
      <w:r w:rsidRPr="006B1A33">
        <w:rPr>
          <w:rFonts w:ascii="Arial"/>
          <w:b/>
          <w:noProof/>
          <w:sz w:val="16"/>
        </w:rPr>
        <w:drawing>
          <wp:inline distT="0" distB="0" distL="0" distR="0" wp14:anchorId="7980796B" wp14:editId="216C14F0">
            <wp:extent cx="3476359" cy="168116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3639" cy="1694355"/>
                    </a:xfrm>
                    <a:prstGeom prst="rect">
                      <a:avLst/>
                    </a:prstGeom>
                    <a:noFill/>
                    <a:ln>
                      <a:noFill/>
                    </a:ln>
                  </pic:spPr>
                </pic:pic>
              </a:graphicData>
            </a:graphic>
          </wp:inline>
        </w:drawing>
      </w:r>
    </w:p>
    <w:p w14:paraId="4F90E360" w14:textId="0D47FE24" w:rsidR="002C379B" w:rsidRDefault="00641C5E">
      <w:pPr>
        <w:pStyle w:val="a3"/>
        <w:spacing w:before="2"/>
        <w:rPr>
          <w:rFonts w:ascii="Arial"/>
          <w:b/>
          <w:sz w:val="16"/>
        </w:rPr>
      </w:pPr>
      <w:r w:rsidRPr="00641C5E">
        <w:rPr>
          <w:rFonts w:ascii="Arial"/>
          <w:b/>
          <w:noProof/>
          <w:sz w:val="16"/>
        </w:rPr>
        <w:lastRenderedPageBreak/>
        <w:drawing>
          <wp:inline distT="0" distB="0" distL="0" distR="0" wp14:anchorId="6F4555C1" wp14:editId="2397B002">
            <wp:extent cx="3165475" cy="139573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395730"/>
                    </a:xfrm>
                    <a:prstGeom prst="rect">
                      <a:avLst/>
                    </a:prstGeom>
                    <a:noFill/>
                    <a:ln>
                      <a:noFill/>
                    </a:ln>
                  </pic:spPr>
                </pic:pic>
              </a:graphicData>
            </a:graphic>
          </wp:inline>
        </w:drawing>
      </w:r>
    </w:p>
    <w:p w14:paraId="1DED7483" w14:textId="7AED351D" w:rsidR="00641C5E" w:rsidRDefault="00641C5E">
      <w:pPr>
        <w:pStyle w:val="a3"/>
        <w:spacing w:before="2"/>
        <w:rPr>
          <w:rFonts w:ascii="Arial"/>
          <w:b/>
          <w:sz w:val="16"/>
        </w:rPr>
      </w:pPr>
      <w:r w:rsidRPr="00641C5E">
        <w:rPr>
          <w:rFonts w:ascii="Arial"/>
          <w:b/>
          <w:noProof/>
          <w:sz w:val="16"/>
        </w:rPr>
        <w:drawing>
          <wp:inline distT="0" distB="0" distL="0" distR="0" wp14:anchorId="1B5A915F" wp14:editId="2829BF72">
            <wp:extent cx="3165475" cy="1400810"/>
            <wp:effectExtent l="0" t="0" r="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1400810"/>
                    </a:xfrm>
                    <a:prstGeom prst="rect">
                      <a:avLst/>
                    </a:prstGeom>
                    <a:noFill/>
                    <a:ln>
                      <a:noFill/>
                    </a:ln>
                  </pic:spPr>
                </pic:pic>
              </a:graphicData>
            </a:graphic>
          </wp:inline>
        </w:drawing>
      </w:r>
    </w:p>
    <w:p w14:paraId="10DCCC59" w14:textId="757C46CF" w:rsidR="005973B9" w:rsidRDefault="005973B9" w:rsidP="005973B9">
      <w:pPr>
        <w:spacing w:line="204" w:lineRule="exact"/>
        <w:rPr>
          <w:rFonts w:ascii="Arial"/>
          <w:b/>
          <w:sz w:val="20"/>
        </w:rPr>
      </w:pPr>
      <w:r>
        <w:rPr>
          <w:rFonts w:ascii="Arial"/>
          <w:b/>
          <w:color w:val="BF5A14"/>
          <w:sz w:val="20"/>
        </w:rPr>
        <w:br/>
        <w:t>Recent Publications (minimum 5)</w:t>
      </w:r>
    </w:p>
    <w:p w14:paraId="01983433" w14:textId="74995552" w:rsidR="005973B9" w:rsidRDefault="00EA6BEE" w:rsidP="005973B9">
      <w:pPr>
        <w:pStyle w:val="a5"/>
        <w:numPr>
          <w:ilvl w:val="0"/>
          <w:numId w:val="3"/>
        </w:numPr>
        <w:tabs>
          <w:tab w:val="left" w:pos="384"/>
        </w:tabs>
        <w:spacing w:before="103" w:line="216" w:lineRule="exact"/>
        <w:ind w:right="138" w:hanging="283"/>
        <w:rPr>
          <w:sz w:val="18"/>
        </w:rPr>
      </w:pPr>
      <w:r w:rsidRPr="00EA6BEE">
        <w:rPr>
          <w:sz w:val="18"/>
        </w:rPr>
        <w:t>WU Y, LIU H, QIN L, et al</w:t>
      </w:r>
      <w:r>
        <w:rPr>
          <w:sz w:val="18"/>
        </w:rPr>
        <w:t xml:space="preserve"> </w:t>
      </w:r>
      <w:r w:rsidRPr="00EA6BEE">
        <w:rPr>
          <w:sz w:val="18"/>
        </w:rPr>
        <w:t xml:space="preserve">(2022) Efficacy and Safety of Antithrombotic Therapy With Oral Anticoagulants in Real-World Elderly Patients With Acute Coronary Syndrome and Atrial </w:t>
      </w:r>
      <w:r w:rsidRPr="00EA6BEE">
        <w:rPr>
          <w:sz w:val="18"/>
        </w:rPr>
        <w:t>Fibrillation. Frontiers in cardiovascular medicine 9: 923684.</w:t>
      </w:r>
    </w:p>
    <w:p w14:paraId="47172F0A" w14:textId="0726559B" w:rsidR="005973B9" w:rsidRDefault="00EC2474" w:rsidP="005973B9">
      <w:pPr>
        <w:pStyle w:val="a5"/>
        <w:numPr>
          <w:ilvl w:val="0"/>
          <w:numId w:val="3"/>
        </w:numPr>
        <w:tabs>
          <w:tab w:val="left" w:pos="384"/>
        </w:tabs>
        <w:spacing w:line="216" w:lineRule="exact"/>
        <w:ind w:right="137" w:hanging="283"/>
        <w:rPr>
          <w:sz w:val="18"/>
        </w:rPr>
      </w:pPr>
      <w:r w:rsidRPr="00D908A0">
        <w:rPr>
          <w:sz w:val="18"/>
        </w:rPr>
        <w:t>ZHANG S,</w:t>
      </w:r>
      <w:r>
        <w:rPr>
          <w:sz w:val="18"/>
        </w:rPr>
        <w:t xml:space="preserve"> </w:t>
      </w:r>
      <w:r w:rsidR="0023607B" w:rsidRPr="00457FA7">
        <w:rPr>
          <w:sz w:val="18"/>
        </w:rPr>
        <w:t>WANG Z,</w:t>
      </w:r>
      <w:r w:rsidR="0023607B" w:rsidRPr="0023607B">
        <w:rPr>
          <w:sz w:val="18"/>
        </w:rPr>
        <w:t xml:space="preserve"> </w:t>
      </w:r>
      <w:r w:rsidR="0023607B" w:rsidRPr="00D908A0">
        <w:rPr>
          <w:sz w:val="18"/>
        </w:rPr>
        <w:t>WU Y,</w:t>
      </w:r>
      <w:r w:rsidR="0023607B" w:rsidRPr="0023607B">
        <w:rPr>
          <w:sz w:val="18"/>
        </w:rPr>
        <w:t xml:space="preserve"> </w:t>
      </w:r>
      <w:r w:rsidR="0023607B" w:rsidRPr="00D908A0">
        <w:rPr>
          <w:sz w:val="18"/>
        </w:rPr>
        <w:t>ZOU Y,</w:t>
      </w:r>
      <w:r w:rsidR="0023607B" w:rsidRPr="0023607B">
        <w:rPr>
          <w:sz w:val="18"/>
        </w:rPr>
        <w:t xml:space="preserve"> WANG Y,</w:t>
      </w:r>
      <w:r w:rsidR="0023607B" w:rsidRPr="00457FA7">
        <w:rPr>
          <w:sz w:val="18"/>
        </w:rPr>
        <w:t xml:space="preserve"> LIU H,</w:t>
      </w:r>
      <w:r w:rsidR="0023607B" w:rsidRPr="0023607B">
        <w:rPr>
          <w:sz w:val="18"/>
        </w:rPr>
        <w:t xml:space="preserve"> </w:t>
      </w:r>
      <w:r w:rsidR="0023607B">
        <w:rPr>
          <w:sz w:val="18"/>
        </w:rPr>
        <w:t>JIA</w:t>
      </w:r>
      <w:r w:rsidR="0023607B" w:rsidRPr="0023607B">
        <w:rPr>
          <w:sz w:val="18"/>
        </w:rPr>
        <w:t xml:space="preserve"> J , YIN T</w:t>
      </w:r>
      <w:r w:rsidR="0023607B">
        <w:rPr>
          <w:sz w:val="18"/>
        </w:rPr>
        <w:t xml:space="preserve"> </w:t>
      </w:r>
      <w:r w:rsidR="0023607B" w:rsidRPr="0023607B">
        <w:rPr>
          <w:rFonts w:hint="eastAsia"/>
          <w:sz w:val="18"/>
        </w:rPr>
        <w:t>(</w:t>
      </w:r>
      <w:r w:rsidR="0023607B" w:rsidRPr="0023607B">
        <w:rPr>
          <w:sz w:val="18"/>
        </w:rPr>
        <w:t xml:space="preserve">2022) </w:t>
      </w:r>
      <w:r w:rsidR="0023607B">
        <w:rPr>
          <w:sz w:val="18"/>
        </w:rPr>
        <w:t>Bleeding events-related factors in elderly CHD patients receiving ticagrelor treatment</w:t>
      </w:r>
      <w:r w:rsidR="0023607B" w:rsidRPr="0023607B">
        <w:rPr>
          <w:sz w:val="18"/>
        </w:rPr>
        <w:t>.</w:t>
      </w:r>
      <w:r w:rsidR="0023607B">
        <w:rPr>
          <w:sz w:val="18"/>
        </w:rPr>
        <w:t xml:space="preserve"> Chinese jour</w:t>
      </w:r>
      <w:r w:rsidR="00B73206">
        <w:rPr>
          <w:sz w:val="18"/>
        </w:rPr>
        <w:t>nal of geriatric heart brain and vessel diseases</w:t>
      </w:r>
      <w:r w:rsidR="00B73206">
        <w:rPr>
          <w:rFonts w:ascii="宋体" w:eastAsia="宋体" w:hAnsi="宋体" w:cs="宋体" w:hint="eastAsia"/>
          <w:sz w:val="18"/>
          <w:lang w:eastAsia="zh-CN"/>
        </w:rPr>
        <w:t xml:space="preserve"> </w:t>
      </w:r>
      <w:r w:rsidR="0023607B" w:rsidRPr="0023607B">
        <w:rPr>
          <w:sz w:val="18"/>
        </w:rPr>
        <w:t>24(06):583-586</w:t>
      </w:r>
    </w:p>
    <w:p w14:paraId="1380CD4B" w14:textId="3E2F5DB2" w:rsidR="00DD50BA" w:rsidRPr="00EC2474" w:rsidRDefault="00EC2474" w:rsidP="00EC2474">
      <w:pPr>
        <w:pStyle w:val="a5"/>
        <w:numPr>
          <w:ilvl w:val="0"/>
          <w:numId w:val="3"/>
        </w:numPr>
        <w:tabs>
          <w:tab w:val="left" w:pos="384"/>
        </w:tabs>
        <w:spacing w:line="216" w:lineRule="exact"/>
        <w:ind w:right="138"/>
        <w:rPr>
          <w:sz w:val="18"/>
        </w:rPr>
      </w:pPr>
      <w:r w:rsidRPr="00457FA7">
        <w:rPr>
          <w:sz w:val="18"/>
          <w:lang w:eastAsia="zh-CN"/>
        </w:rPr>
        <w:t>WANG Z,</w:t>
      </w:r>
      <w:r w:rsidRPr="00EC2474">
        <w:rPr>
          <w:sz w:val="18"/>
          <w:lang w:eastAsia="zh-CN"/>
        </w:rPr>
        <w:t xml:space="preserve"> </w:t>
      </w:r>
      <w:r w:rsidRPr="00D908A0">
        <w:rPr>
          <w:sz w:val="18"/>
          <w:lang w:eastAsia="zh-CN"/>
        </w:rPr>
        <w:t>ZOU Y,</w:t>
      </w:r>
      <w:r w:rsidRPr="00EC2474">
        <w:rPr>
          <w:rFonts w:hint="eastAsia"/>
          <w:sz w:val="18"/>
          <w:lang w:eastAsia="zh-CN"/>
        </w:rPr>
        <w:t xml:space="preserve"> </w:t>
      </w:r>
      <w:r w:rsidRPr="00EC2474">
        <w:rPr>
          <w:sz w:val="18"/>
          <w:lang w:eastAsia="zh-CN"/>
        </w:rPr>
        <w:t>DU R,</w:t>
      </w:r>
      <w:r w:rsidRPr="0023607B">
        <w:rPr>
          <w:sz w:val="18"/>
          <w:lang w:eastAsia="zh-CN"/>
        </w:rPr>
        <w:t xml:space="preserve"> </w:t>
      </w:r>
      <w:r w:rsidRPr="00D908A0">
        <w:rPr>
          <w:sz w:val="18"/>
          <w:lang w:eastAsia="zh-CN"/>
        </w:rPr>
        <w:t xml:space="preserve">WU </w:t>
      </w:r>
      <w:r w:rsidRPr="00D908A0">
        <w:rPr>
          <w:sz w:val="18"/>
        </w:rPr>
        <w:t>Y,</w:t>
      </w:r>
      <w:r>
        <w:rPr>
          <w:sz w:val="18"/>
        </w:rPr>
        <w:t xml:space="preserve"> WANG G,</w:t>
      </w:r>
      <w:r w:rsidRPr="00EC2474">
        <w:rPr>
          <w:sz w:val="18"/>
        </w:rPr>
        <w:t xml:space="preserve"> </w:t>
      </w:r>
      <w:r w:rsidRPr="00457FA7">
        <w:rPr>
          <w:sz w:val="18"/>
        </w:rPr>
        <w:t>LIU H,</w:t>
      </w:r>
      <w:r w:rsidRPr="00EC2474">
        <w:rPr>
          <w:sz w:val="18"/>
        </w:rPr>
        <w:t xml:space="preserve"> </w:t>
      </w:r>
      <w:r w:rsidRPr="0023607B">
        <w:rPr>
          <w:sz w:val="18"/>
        </w:rPr>
        <w:t>WANG Y,</w:t>
      </w:r>
      <w:r w:rsidRPr="00EC2474">
        <w:rPr>
          <w:rFonts w:hint="eastAsia"/>
          <w:sz w:val="18"/>
        </w:rPr>
        <w:t xml:space="preserve"> </w:t>
      </w:r>
      <w:r w:rsidRPr="00EC2474">
        <w:rPr>
          <w:sz w:val="18"/>
        </w:rPr>
        <w:t xml:space="preserve">WANG X, </w:t>
      </w:r>
      <w:r w:rsidRPr="0023607B">
        <w:rPr>
          <w:sz w:val="18"/>
        </w:rPr>
        <w:t>YIN T</w:t>
      </w:r>
      <w:r>
        <w:rPr>
          <w:sz w:val="18"/>
        </w:rPr>
        <w:t xml:space="preserve"> </w:t>
      </w:r>
      <w:r w:rsidRPr="0023607B">
        <w:rPr>
          <w:rFonts w:hint="eastAsia"/>
          <w:sz w:val="18"/>
        </w:rPr>
        <w:t>(</w:t>
      </w:r>
      <w:r w:rsidRPr="0023607B">
        <w:rPr>
          <w:sz w:val="18"/>
        </w:rPr>
        <w:t>202</w:t>
      </w:r>
      <w:r>
        <w:rPr>
          <w:sz w:val="18"/>
        </w:rPr>
        <w:t>1</w:t>
      </w:r>
      <w:r w:rsidRPr="0023607B">
        <w:rPr>
          <w:sz w:val="18"/>
        </w:rPr>
        <w:t>)</w:t>
      </w:r>
      <w:r>
        <w:rPr>
          <w:sz w:val="18"/>
        </w:rPr>
        <w:t xml:space="preserve"> </w:t>
      </w:r>
      <w:r w:rsidRPr="00EC2474">
        <w:rPr>
          <w:sz w:val="18"/>
        </w:rPr>
        <w:t>De-escalation of antiplatelet therapy in patients with acute coronary syndrome or</w:t>
      </w:r>
      <w:r>
        <w:rPr>
          <w:sz w:val="18"/>
        </w:rPr>
        <w:t xml:space="preserve"> </w:t>
      </w:r>
      <w:r w:rsidRPr="00EC2474">
        <w:rPr>
          <w:sz w:val="18"/>
        </w:rPr>
        <w:t>undergoing percutaneous coronary intervention: a real world clinical outcomes</w:t>
      </w:r>
      <w:r>
        <w:rPr>
          <w:sz w:val="18"/>
        </w:rPr>
        <w:t xml:space="preserve"> </w:t>
      </w:r>
      <w:r w:rsidRPr="00EC2474">
        <w:rPr>
          <w:sz w:val="18"/>
          <w:lang w:eastAsia="zh-CN"/>
        </w:rPr>
        <w:t>analysis.</w:t>
      </w:r>
      <w:r w:rsidRPr="00EC2474">
        <w:t xml:space="preserve"> </w:t>
      </w:r>
      <w:r w:rsidRPr="00EC2474">
        <w:rPr>
          <w:sz w:val="18"/>
          <w:lang w:eastAsia="zh-CN"/>
        </w:rPr>
        <w:t>Chinese Journal of Multiple Organ Diseases in the Elderly</w:t>
      </w:r>
      <w:r>
        <w:rPr>
          <w:rFonts w:ascii="宋体" w:eastAsia="宋体" w:hAnsi="宋体" w:cs="宋体" w:hint="eastAsia"/>
          <w:sz w:val="18"/>
          <w:lang w:eastAsia="zh-CN"/>
        </w:rPr>
        <w:t xml:space="preserve"> </w:t>
      </w:r>
      <w:r w:rsidRPr="00EC2474">
        <w:rPr>
          <w:sz w:val="18"/>
          <w:lang w:eastAsia="zh-CN"/>
        </w:rPr>
        <w:t>20(12):946-951.</w:t>
      </w:r>
    </w:p>
    <w:p w14:paraId="5F747A68" w14:textId="24029E54" w:rsidR="005973B9" w:rsidRDefault="00457FA7" w:rsidP="005973B9">
      <w:pPr>
        <w:pStyle w:val="a5"/>
        <w:numPr>
          <w:ilvl w:val="0"/>
          <w:numId w:val="3"/>
        </w:numPr>
        <w:tabs>
          <w:tab w:val="left" w:pos="384"/>
        </w:tabs>
        <w:spacing w:line="216" w:lineRule="exact"/>
        <w:ind w:right="138" w:hanging="283"/>
        <w:rPr>
          <w:sz w:val="18"/>
        </w:rPr>
      </w:pPr>
      <w:r w:rsidRPr="00457FA7">
        <w:rPr>
          <w:sz w:val="18"/>
        </w:rPr>
        <w:t>JIN Y, MA J, WANG Z, ZOU Y, WANG G, WU Y, WANG Y, LIU H, YIN T, YE P</w:t>
      </w:r>
      <w:r>
        <w:rPr>
          <w:sz w:val="18"/>
        </w:rPr>
        <w:t xml:space="preserve"> (2022)</w:t>
      </w:r>
      <w:r w:rsidRPr="00457FA7">
        <w:rPr>
          <w:sz w:val="18"/>
        </w:rPr>
        <w:t xml:space="preserve"> Performance of the ABCD-GENE Score for Predicting Clinical Outcomes in Clopidogrel-Treated Patients with ACS. J Cardiovasc </w:t>
      </w:r>
      <w:proofErr w:type="spellStart"/>
      <w:r w:rsidRPr="00457FA7">
        <w:rPr>
          <w:sz w:val="18"/>
        </w:rPr>
        <w:t>Transl</w:t>
      </w:r>
      <w:proofErr w:type="spellEnd"/>
      <w:r w:rsidRPr="00457FA7">
        <w:rPr>
          <w:sz w:val="18"/>
        </w:rPr>
        <w:t xml:space="preserve"> Res</w:t>
      </w:r>
      <w:r>
        <w:rPr>
          <w:sz w:val="18"/>
        </w:rPr>
        <w:t xml:space="preserve"> </w:t>
      </w:r>
      <w:r w:rsidR="00D908A0" w:rsidRPr="00D908A0">
        <w:rPr>
          <w:sz w:val="18"/>
        </w:rPr>
        <w:t>10255-8</w:t>
      </w:r>
    </w:p>
    <w:p w14:paraId="287AC8C2" w14:textId="4173531A" w:rsidR="005973B9" w:rsidRPr="00D908A0" w:rsidRDefault="00D908A0" w:rsidP="00D908A0">
      <w:pPr>
        <w:pStyle w:val="a5"/>
        <w:numPr>
          <w:ilvl w:val="0"/>
          <w:numId w:val="3"/>
        </w:numPr>
        <w:tabs>
          <w:tab w:val="left" w:pos="384"/>
        </w:tabs>
        <w:spacing w:before="92" w:line="218" w:lineRule="exact"/>
        <w:ind w:hanging="283"/>
        <w:rPr>
          <w:sz w:val="18"/>
        </w:rPr>
      </w:pPr>
      <w:r w:rsidRPr="00D908A0">
        <w:rPr>
          <w:sz w:val="18"/>
        </w:rPr>
        <w:t>ZOU Y, WANG Y, WU Y, WU Y, ZHANG S, LIU H, YIN T</w:t>
      </w:r>
      <w:r>
        <w:rPr>
          <w:sz w:val="18"/>
        </w:rPr>
        <w:t xml:space="preserve"> (2022)</w:t>
      </w:r>
      <w:r w:rsidRPr="00D908A0">
        <w:rPr>
          <w:sz w:val="18"/>
        </w:rPr>
        <w:t>. Prediction of residual ischemic risk in ticagrelor-treated patients with acute coronary syndrome. Thrombosis journal</w:t>
      </w:r>
      <w:r>
        <w:rPr>
          <w:sz w:val="18"/>
        </w:rPr>
        <w:t xml:space="preserve"> </w:t>
      </w:r>
      <w:r w:rsidRPr="00D908A0">
        <w:rPr>
          <w:sz w:val="18"/>
        </w:rPr>
        <w:t>20(1): 21.</w:t>
      </w:r>
    </w:p>
    <w:p w14:paraId="097470F4" w14:textId="59DAFC8D" w:rsidR="005973B9" w:rsidRPr="0023607B" w:rsidRDefault="00DD50BA" w:rsidP="005973B9">
      <w:pPr>
        <w:pStyle w:val="a3"/>
        <w:spacing w:before="85" w:line="216" w:lineRule="exact"/>
        <w:ind w:left="383" w:right="138" w:hanging="284"/>
        <w:jc w:val="both"/>
        <w:rPr>
          <w:rFonts w:ascii="Calibri" w:eastAsia="Calibri" w:hAnsi="Calibri" w:cs="Calibri"/>
          <w:szCs w:val="22"/>
        </w:rPr>
      </w:pPr>
      <w:r>
        <w:rPr>
          <w:rFonts w:ascii="Calibri" w:eastAsia="Calibri" w:hAnsi="Calibri" w:cs="Calibri"/>
          <w:szCs w:val="22"/>
        </w:rPr>
        <w:t>6</w:t>
      </w:r>
      <w:r w:rsidR="005973B9" w:rsidRPr="0023607B">
        <w:rPr>
          <w:rFonts w:ascii="Calibri" w:eastAsia="Calibri" w:hAnsi="Calibri" w:cs="Calibri"/>
          <w:szCs w:val="22"/>
        </w:rPr>
        <w:t xml:space="preserve">. </w:t>
      </w:r>
      <w:r w:rsidR="00D908A0" w:rsidRPr="0023607B">
        <w:rPr>
          <w:rFonts w:ascii="Calibri" w:eastAsia="Calibri" w:hAnsi="Calibri" w:cs="Calibri"/>
          <w:szCs w:val="22"/>
        </w:rPr>
        <w:t>ZHANG X, WU Y, LV C, ZHANG S, LIU H, WANG Y, ZOU Y, QIN L , ZHANG J , YIN T (2022). Efficacy and safety of oral anticoagulants in elderly patients with stable coronary artery disease and atrial fibrillation [J]. Thrombosis journal</w:t>
      </w:r>
      <w:r w:rsidR="00DC3A79" w:rsidRPr="0023607B">
        <w:rPr>
          <w:rFonts w:ascii="Calibri" w:eastAsia="Calibri" w:hAnsi="Calibri" w:cs="Calibri"/>
          <w:szCs w:val="22"/>
        </w:rPr>
        <w:t xml:space="preserve"> </w:t>
      </w:r>
      <w:r w:rsidR="00D908A0" w:rsidRPr="0023607B">
        <w:rPr>
          <w:rFonts w:ascii="Calibri" w:eastAsia="Calibri" w:hAnsi="Calibri" w:cs="Calibri"/>
          <w:szCs w:val="22"/>
        </w:rPr>
        <w:t>20(1): 66.</w:t>
      </w:r>
    </w:p>
    <w:p w14:paraId="531DF623" w14:textId="77777777" w:rsidR="00AE3E37" w:rsidRPr="008756E6" w:rsidRDefault="00AE3E37" w:rsidP="008756E6">
      <w:pPr>
        <w:tabs>
          <w:tab w:val="left" w:pos="384"/>
        </w:tabs>
        <w:ind w:right="117"/>
      </w:pPr>
    </w:p>
    <w:p w14:paraId="3F78911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F62897B" w14:textId="77777777" w:rsidR="00AE3E37" w:rsidRDefault="00AE3E37">
      <w:pPr>
        <w:pStyle w:val="a3"/>
        <w:rPr>
          <w:rFonts w:ascii="Calibri"/>
          <w:sz w:val="20"/>
        </w:rPr>
      </w:pPr>
    </w:p>
    <w:p w14:paraId="5240E5A9"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27A2CE06" wp14:editId="2BC6819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78A1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B76428" w14:textId="7D2732A1"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96552CB" wp14:editId="6775DB5B">
                <wp:simplePos x="0" y="0"/>
                <wp:positionH relativeFrom="column">
                  <wp:posOffset>5334387</wp:posOffset>
                </wp:positionH>
                <wp:positionV relativeFrom="paragraph">
                  <wp:posOffset>56902</wp:posOffset>
                </wp:positionV>
                <wp:extent cx="1333389" cy="446101"/>
                <wp:effectExtent l="19050" t="19050" r="19685"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389" cy="446101"/>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2825E9" w14:textId="1B13B229" w:rsidR="00A52075" w:rsidRDefault="007C4CEE" w:rsidP="00A52075">
                            <w:pPr>
                              <w:rPr>
                                <w:b/>
                                <w:color w:val="0000FF"/>
                                <w:lang w:val="en-IN"/>
                              </w:rPr>
                            </w:pPr>
                            <w:r w:rsidRPr="007C4CEE">
                              <w:rPr>
                                <w:b/>
                                <w:noProof/>
                                <w:color w:val="0000FF"/>
                                <w:lang w:val="en-IN"/>
                              </w:rPr>
                              <w:drawing>
                                <wp:inline distT="0" distB="0" distL="0" distR="0" wp14:anchorId="5DA69AA5" wp14:editId="18ABB1C5">
                                  <wp:extent cx="1069023" cy="254442"/>
                                  <wp:effectExtent l="0" t="0" r="0" b="0"/>
                                  <wp:docPr id="11266" name="图片 4">
                                    <a:extLst xmlns:a="http://schemas.openxmlformats.org/drawingml/2006/main">
                                      <a:ext uri="{FF2B5EF4-FFF2-40B4-BE49-F238E27FC236}">
                                        <a16:creationId xmlns:a16="http://schemas.microsoft.com/office/drawing/2014/main" id="{946EAD41-2428-4992-B05B-3AB1C76451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图片 4">
                                            <a:extLst>
                                              <a:ext uri="{FF2B5EF4-FFF2-40B4-BE49-F238E27FC236}">
                                                <a16:creationId xmlns:a16="http://schemas.microsoft.com/office/drawing/2014/main" id="{946EAD41-2428-4992-B05B-3AB1C76451F0}"/>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2937" cy="27679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6552CB" id="Rounded Rectangle 2" o:spid="_x0000_s1026" style="position:absolute;margin-left:420.05pt;margin-top:4.5pt;width:105pt;height:3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" strokecolor="#9bbb59" strokeweight="2.5pt">
                <v:shadow color="#868686"/>
                <v:textbox>
                  <w:txbxContent>
                    <w:p w14:paraId="5B2825E9" w14:textId="1B13B229" w:rsidR="00A52075" w:rsidRDefault="007C4CEE" w:rsidP="00A52075">
                      <w:pPr>
                        <w:rPr>
                          <w:b/>
                          <w:color w:val="0000FF"/>
                          <w:lang w:val="en-IN"/>
                        </w:rPr>
                      </w:pPr>
                      <w:r w:rsidRPr="007C4CEE">
                        <w:rPr>
                          <w:b/>
                          <w:noProof/>
                          <w:color w:val="0000FF"/>
                          <w:lang w:val="en-IN"/>
                        </w:rPr>
                        <w:drawing>
                          <wp:inline distT="0" distB="0" distL="0" distR="0" wp14:anchorId="5DA69AA5" wp14:editId="18ABB1C5">
                            <wp:extent cx="1069023" cy="254442"/>
                            <wp:effectExtent l="0" t="0" r="0" b="0"/>
                            <wp:docPr id="11266" name="图片 4">
                              <a:extLst xmlns:a="http://schemas.openxmlformats.org/drawingml/2006/main">
                                <a:ext uri="{FF2B5EF4-FFF2-40B4-BE49-F238E27FC236}">
                                  <a16:creationId xmlns:a16="http://schemas.microsoft.com/office/drawing/2014/main" id="{946EAD41-2428-4992-B05B-3AB1C76451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图片 4">
                                      <a:extLst>
                                        <a:ext uri="{FF2B5EF4-FFF2-40B4-BE49-F238E27FC236}">
                                          <a16:creationId xmlns:a16="http://schemas.microsoft.com/office/drawing/2014/main" id="{946EAD41-2428-4992-B05B-3AB1C76451F0}"/>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2937" cy="276795"/>
                                    </a:xfrm>
                                    <a:prstGeom prst="rect">
                                      <a:avLst/>
                                    </a:prstGeom>
                                    <a:noFill/>
                                    <a:ln>
                                      <a:noFill/>
                                    </a:ln>
                                  </pic:spPr>
                                </pic:pic>
                              </a:graphicData>
                            </a:graphic>
                          </wp:inline>
                        </w:drawing>
                      </w:r>
                    </w:p>
                  </w:txbxContent>
                </v:textbox>
              </v:roundrect>
            </w:pict>
          </mc:Fallback>
        </mc:AlternateContent>
      </w:r>
      <w:r w:rsidR="008756E6">
        <w:rPr>
          <w:noProof/>
        </w:rPr>
        <w:t xml:space="preserve">     </w:t>
      </w:r>
      <w:r w:rsidR="007C4CEE">
        <w:rPr>
          <w:noProof/>
        </w:rPr>
        <w:drawing>
          <wp:inline distT="0" distB="0" distL="0" distR="0" wp14:anchorId="08A3FF13" wp14:editId="6A459E0A">
            <wp:extent cx="787179" cy="966861"/>
            <wp:effectExtent l="0" t="0" r="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59043" cy="105512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7EB0C2F3" w14:textId="077EDF16" w:rsidR="00AE609A" w:rsidRPr="00AE609A" w:rsidRDefault="00E830EB" w:rsidP="00322EFB">
      <w:pPr>
        <w:spacing w:before="41" w:line="154" w:lineRule="exact"/>
        <w:ind w:left="213" w:right="231"/>
        <w:jc w:val="both"/>
        <w:rPr>
          <w:rFonts w:ascii="Arial" w:eastAsiaTheme="minorEastAsia"/>
          <w:sz w:val="14"/>
          <w:lang w:eastAsia="zh-CN"/>
        </w:rPr>
      </w:pPr>
      <w:r>
        <w:rPr>
          <w:rFonts w:ascii="Arial"/>
          <w:sz w:val="14"/>
        </w:rPr>
        <w:t>Liu Haiping</w:t>
      </w:r>
      <w:r w:rsidR="00A9710C">
        <w:rPr>
          <w:rFonts w:ascii="Arial"/>
          <w:sz w:val="14"/>
        </w:rPr>
        <w:t xml:space="preserve"> has her expertise in evaluation and passion </w:t>
      </w:r>
      <w:r w:rsidR="00A9710C" w:rsidRPr="00322EFB">
        <w:rPr>
          <w:rFonts w:ascii="Arial" w:eastAsiaTheme="minorEastAsia"/>
          <w:sz w:val="14"/>
          <w:lang w:eastAsia="zh-CN"/>
        </w:rPr>
        <w:t xml:space="preserve">in </w:t>
      </w:r>
      <w:r w:rsidR="00AE609A" w:rsidRPr="00322EFB">
        <w:rPr>
          <w:rFonts w:ascii="Arial" w:eastAsiaTheme="minorEastAsia"/>
          <w:sz w:val="14"/>
          <w:lang w:eastAsia="zh-CN"/>
        </w:rPr>
        <w:t>investigat</w:t>
      </w:r>
      <w:r w:rsidR="00AE609A" w:rsidRPr="00322EFB">
        <w:rPr>
          <w:rFonts w:ascii="Arial" w:eastAsiaTheme="minorEastAsia" w:hint="eastAsia"/>
          <w:sz w:val="14"/>
          <w:lang w:eastAsia="zh-CN"/>
        </w:rPr>
        <w:t>ing</w:t>
      </w:r>
      <w:r w:rsidR="00AE609A" w:rsidRPr="00AE609A">
        <w:rPr>
          <w:rFonts w:ascii="Arial" w:eastAsiaTheme="minorEastAsia"/>
          <w:sz w:val="14"/>
          <w:lang w:eastAsia="zh-CN"/>
        </w:rPr>
        <w:t xml:space="preserve"> precision medicine for </w:t>
      </w:r>
      <w:r w:rsidR="00322EFB">
        <w:rPr>
          <w:rFonts w:ascii="Arial" w:eastAsiaTheme="minorEastAsia"/>
          <w:sz w:val="14"/>
          <w:lang w:eastAsia="zh-CN"/>
        </w:rPr>
        <w:t xml:space="preserve">patients </w:t>
      </w:r>
      <w:r w:rsidR="00322EFB" w:rsidRPr="00322EFB">
        <w:rPr>
          <w:rFonts w:ascii="Arial" w:eastAsiaTheme="minorEastAsia"/>
          <w:sz w:val="14"/>
          <w:lang w:eastAsia="zh-CN"/>
        </w:rPr>
        <w:t>diagnos</w:t>
      </w:r>
      <w:r w:rsidR="00322EFB">
        <w:rPr>
          <w:rFonts w:ascii="Arial" w:eastAsiaTheme="minorEastAsia"/>
          <w:sz w:val="14"/>
          <w:lang w:eastAsia="zh-CN"/>
        </w:rPr>
        <w:t>ed</w:t>
      </w:r>
      <w:r w:rsidR="00322EFB">
        <w:rPr>
          <w:rFonts w:ascii="Arial" w:eastAsiaTheme="minorEastAsia" w:hint="eastAsia"/>
          <w:sz w:val="14"/>
          <w:lang w:eastAsia="zh-CN"/>
        </w:rPr>
        <w:t xml:space="preserve"> </w:t>
      </w:r>
      <w:r w:rsidR="00322EFB">
        <w:rPr>
          <w:rFonts w:ascii="Arial" w:eastAsiaTheme="minorEastAsia"/>
          <w:sz w:val="14"/>
          <w:lang w:eastAsia="zh-CN"/>
        </w:rPr>
        <w:t>with hypertension</w:t>
      </w:r>
      <w:r w:rsidR="00A9710C">
        <w:rPr>
          <w:rFonts w:ascii="Arial"/>
          <w:sz w:val="14"/>
        </w:rPr>
        <w:t xml:space="preserve">. Her open and contextual evaluation model based on </w:t>
      </w:r>
      <w:r w:rsidR="00322EFB" w:rsidRPr="00AE609A">
        <w:rPr>
          <w:rFonts w:ascii="Arial" w:eastAsiaTheme="minorEastAsia"/>
          <w:sz w:val="14"/>
          <w:lang w:eastAsia="zh-CN"/>
        </w:rPr>
        <w:t>the effects of gene mutations on the efficacy and adverse reactions of antihypertensive drugs</w:t>
      </w:r>
      <w:r w:rsidR="00A9710C">
        <w:rPr>
          <w:rFonts w:ascii="Arial"/>
          <w:sz w:val="14"/>
        </w:rPr>
        <w:t>.</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322EFB" w:rsidRPr="00AE609A">
        <w:rPr>
          <w:rFonts w:ascii="Arial" w:eastAsiaTheme="minorEastAsia"/>
          <w:sz w:val="14"/>
          <w:lang w:eastAsia="zh-CN"/>
        </w:rPr>
        <w:t>formulate</w:t>
      </w:r>
      <w:r w:rsidR="00322EFB">
        <w:rPr>
          <w:rFonts w:ascii="Arial" w:eastAsiaTheme="minorEastAsia" w:hint="eastAsia"/>
          <w:sz w:val="14"/>
          <w:lang w:eastAsia="zh-CN"/>
        </w:rPr>
        <w:t>d</w:t>
      </w:r>
      <w:r w:rsidR="00322EFB" w:rsidRPr="00AE609A">
        <w:rPr>
          <w:rFonts w:ascii="Arial" w:eastAsiaTheme="minorEastAsia"/>
          <w:sz w:val="14"/>
          <w:lang w:eastAsia="zh-CN"/>
        </w:rPr>
        <w:t xml:space="preserve"> individualized antihypertensive</w:t>
      </w:r>
      <w:r w:rsidR="00322EFB">
        <w:rPr>
          <w:rFonts w:ascii="Arial" w:eastAsiaTheme="minorEastAsia"/>
          <w:sz w:val="14"/>
          <w:lang w:eastAsia="zh-CN"/>
        </w:rPr>
        <w:t xml:space="preserve"> </w:t>
      </w:r>
      <w:r w:rsidR="00322EFB">
        <w:rPr>
          <w:rFonts w:ascii="Arial" w:eastAsiaTheme="minorEastAsia" w:hint="eastAsia"/>
          <w:sz w:val="14"/>
          <w:lang w:eastAsia="zh-CN"/>
        </w:rPr>
        <w:t>drug</w:t>
      </w:r>
      <w:r w:rsidR="00322EFB" w:rsidRPr="00322EFB">
        <w:rPr>
          <w:rFonts w:ascii="Arial" w:eastAsiaTheme="minorEastAsia"/>
          <w:sz w:val="14"/>
          <w:lang w:eastAsia="zh-CN"/>
        </w:rPr>
        <w:t xml:space="preserve"> regimen</w:t>
      </w:r>
      <w:r w:rsidR="00322EFB">
        <w:rPr>
          <w:rFonts w:ascii="Arial" w:eastAsiaTheme="minorEastAsia"/>
          <w:sz w:val="14"/>
          <w:lang w:eastAsia="zh-CN"/>
        </w:rPr>
        <w:t xml:space="preserve"> </w:t>
      </w:r>
      <w:r w:rsidR="00322EFB" w:rsidRPr="00AE609A">
        <w:rPr>
          <w:rFonts w:ascii="Arial" w:eastAsiaTheme="minorEastAsia"/>
          <w:sz w:val="14"/>
          <w:lang w:eastAsia="zh-CN"/>
        </w:rPr>
        <w:t>for patients</w:t>
      </w:r>
      <w:r w:rsidR="00322EFB">
        <w:rPr>
          <w:rFonts w:ascii="宋体" w:eastAsia="宋体" w:hAnsi="宋体" w:cs="宋体" w:hint="eastAsia"/>
          <w:sz w:val="14"/>
          <w:lang w:eastAsia="zh-CN"/>
        </w:rPr>
        <w:t>,</w:t>
      </w:r>
      <w:r w:rsidR="00322EFB" w:rsidRPr="00322EFB">
        <w:rPr>
          <w:rFonts w:ascii="Arial" w:eastAsiaTheme="minorEastAsia"/>
          <w:sz w:val="14"/>
          <w:lang w:eastAsia="zh-CN"/>
        </w:rPr>
        <w:t xml:space="preserve"> </w:t>
      </w:r>
      <w:r w:rsidR="00322EFB" w:rsidRPr="00AE609A">
        <w:rPr>
          <w:rFonts w:ascii="Arial" w:eastAsiaTheme="minorEastAsia"/>
          <w:sz w:val="14"/>
          <w:lang w:eastAsia="zh-CN"/>
        </w:rPr>
        <w:t>so as to improve the blood pressure compliance rate and reduce the risk of cardiovascular adverse events.</w:t>
      </w:r>
    </w:p>
    <w:p w14:paraId="56DE8358" w14:textId="3E418085" w:rsidR="00AE3E37" w:rsidRDefault="00A9710C">
      <w:pPr>
        <w:spacing w:before="62"/>
        <w:ind w:left="4217" w:right="4235"/>
        <w:jc w:val="center"/>
        <w:rPr>
          <w:rFonts w:ascii="Arial"/>
          <w:sz w:val="14"/>
        </w:rPr>
      </w:pPr>
      <w:r>
        <w:rPr>
          <w:rFonts w:ascii="Arial"/>
          <w:sz w:val="14"/>
        </w:rPr>
        <w:t xml:space="preserve">Email: </w:t>
      </w:r>
      <w:hyperlink r:id="rId14" w:history="1">
        <w:r w:rsidR="00E830EB" w:rsidRPr="000B4157">
          <w:rPr>
            <w:rStyle w:val="ac"/>
            <w:rFonts w:ascii="Arial"/>
            <w:sz w:val="14"/>
          </w:rPr>
          <w:t>18845751147@163.com</w:t>
        </w:r>
      </w:hyperlink>
    </w:p>
    <w:p w14:paraId="68DF484E" w14:textId="3EC2B917" w:rsidR="00AE3E37" w:rsidRPr="00A35595" w:rsidRDefault="00292ED9" w:rsidP="00A35595">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1B92A2D" wp14:editId="7793D4A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B57CC"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8E5C940" w14:textId="77777777" w:rsidR="00AE3E37" w:rsidRDefault="00A9710C" w:rsidP="000534A1">
      <w:pPr>
        <w:spacing w:before="39"/>
        <w:ind w:left="100"/>
        <w:rPr>
          <w:rFonts w:ascii="Minion Pro"/>
          <w:b/>
          <w:sz w:val="20"/>
        </w:rPr>
      </w:pPr>
      <w:r w:rsidRPr="00B21A57">
        <w:rPr>
          <w:rFonts w:ascii="Minion Pro"/>
          <w:b/>
          <w:sz w:val="20"/>
        </w:rPr>
        <w:t>Notes/Comments:</w:t>
      </w:r>
    </w:p>
    <w:p w14:paraId="34031188" w14:textId="4F437522" w:rsidR="00EA7D51" w:rsidRDefault="00EA7D51" w:rsidP="00A35595">
      <w:pPr>
        <w:spacing w:before="39"/>
        <w:rPr>
          <w:rFonts w:ascii="Minion Pro"/>
          <w:b/>
          <w:sz w:val="20"/>
        </w:rPr>
      </w:pPr>
    </w:p>
    <w:p w14:paraId="69F16D1F" w14:textId="77777777" w:rsidR="00A35595" w:rsidRDefault="00A35595" w:rsidP="00A35595">
      <w:pPr>
        <w:spacing w:before="39"/>
        <w:rPr>
          <w:rFonts w:ascii="Minion Pro"/>
          <w:b/>
          <w:sz w:val="20"/>
        </w:rPr>
      </w:pPr>
    </w:p>
    <w:p w14:paraId="74C45CEE" w14:textId="6B53293A" w:rsidR="00EA7D51" w:rsidRPr="00A35595" w:rsidRDefault="00EA7D51" w:rsidP="00EA7D51">
      <w:pPr>
        <w:autoSpaceDE w:val="0"/>
        <w:autoSpaceDN w:val="0"/>
        <w:adjustRightInd w:val="0"/>
        <w:rPr>
          <w:b/>
          <w:sz w:val="20"/>
          <w:szCs w:val="20"/>
          <w:highlight w:val="yellow"/>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E830EB">
        <w:rPr>
          <w:sz w:val="20"/>
          <w:szCs w:val="20"/>
          <w:lang w:val="en-NZ"/>
        </w:rPr>
        <w:t>Liu Haiping</w:t>
      </w:r>
      <w:r w:rsidRPr="00F35A62">
        <w:rPr>
          <w:sz w:val="20"/>
          <w:szCs w:val="20"/>
          <w:lang w:val="en-NZ"/>
        </w:rPr>
        <w:br/>
        <w:t>Contact number:</w:t>
      </w:r>
      <w:r w:rsidR="00E830EB">
        <w:rPr>
          <w:sz w:val="20"/>
          <w:szCs w:val="20"/>
          <w:lang w:val="en-NZ"/>
        </w:rPr>
        <w:t>18845751147</w:t>
      </w:r>
      <w:r w:rsidRPr="00F35A62">
        <w:rPr>
          <w:sz w:val="20"/>
          <w:szCs w:val="20"/>
          <w:lang w:val="en-NZ"/>
        </w:rPr>
        <w:br/>
        <w:t>Twitter account:</w:t>
      </w:r>
      <w:r w:rsidR="00E830EB">
        <w:rPr>
          <w:sz w:val="20"/>
          <w:szCs w:val="20"/>
          <w:lang w:val="en-NZ"/>
        </w:rPr>
        <w:t xml:space="preserve"> non</w:t>
      </w:r>
      <w:r w:rsidRPr="00F35A62">
        <w:rPr>
          <w:sz w:val="20"/>
          <w:szCs w:val="20"/>
          <w:lang w:val="en-NZ"/>
        </w:rPr>
        <w:br/>
      </w:r>
      <w:r w:rsidRPr="00A35595">
        <w:rPr>
          <w:sz w:val="20"/>
          <w:szCs w:val="20"/>
          <w:highlight w:val="yellow"/>
          <w:lang w:val="en-NZ"/>
        </w:rPr>
        <w:t>Linked In account:</w:t>
      </w:r>
      <w:r w:rsidR="00E830EB" w:rsidRPr="00A35595">
        <w:rPr>
          <w:sz w:val="20"/>
          <w:szCs w:val="20"/>
          <w:highlight w:val="yellow"/>
          <w:lang w:val="en-NZ"/>
        </w:rPr>
        <w:t xml:space="preserve"> </w:t>
      </w:r>
    </w:p>
    <w:p w14:paraId="7EEBEC4B" w14:textId="4A01C21A" w:rsidR="00EA7D51" w:rsidRPr="00641C5E" w:rsidRDefault="00EA7D51" w:rsidP="00641C5E">
      <w:pPr>
        <w:autoSpaceDE w:val="0"/>
        <w:autoSpaceDN w:val="0"/>
        <w:adjustRightInd w:val="0"/>
        <w:rPr>
          <w:sz w:val="20"/>
          <w:szCs w:val="20"/>
          <w:lang w:val="en-NZ"/>
        </w:rPr>
        <w:sectPr w:rsidR="00EA7D51" w:rsidRPr="00641C5E" w:rsidSect="008E5477">
          <w:type w:val="continuous"/>
          <w:pgSz w:w="11910" w:h="16840"/>
          <w:pgMar w:top="995" w:right="600" w:bottom="840" w:left="620" w:header="720" w:footer="720" w:gutter="0"/>
          <w:cols w:space="720"/>
        </w:sectPr>
      </w:pPr>
      <w:r w:rsidRPr="00A35595">
        <w:rPr>
          <w:sz w:val="20"/>
          <w:szCs w:val="20"/>
          <w:highlight w:val="yellow"/>
          <w:lang w:val="en-NZ"/>
        </w:rPr>
        <w:t>Session name/ number:</w:t>
      </w:r>
      <w:r w:rsidRPr="00F35A62">
        <w:rPr>
          <w:sz w:val="20"/>
          <w:szCs w:val="20"/>
          <w:lang w:val="en-NZ"/>
        </w:rPr>
        <w:t xml:space="preserve"> </w:t>
      </w:r>
      <w:r w:rsidRPr="00F35A62">
        <w:rPr>
          <w:sz w:val="20"/>
          <w:szCs w:val="20"/>
          <w:lang w:val="en-NZ"/>
        </w:rPr>
        <w:br/>
      </w:r>
      <w:r w:rsidRPr="00174538">
        <w:rPr>
          <w:sz w:val="20"/>
          <w:szCs w:val="20"/>
          <w:lang w:val="en-NZ"/>
        </w:rPr>
        <w:t>Category:</w:t>
      </w:r>
      <w:r w:rsidR="00E830EB" w:rsidRPr="00174538">
        <w:rPr>
          <w:sz w:val="20"/>
          <w:szCs w:val="20"/>
          <w:lang w:val="en-NZ"/>
        </w:rPr>
        <w:t xml:space="preserve"> Poster presentation</w:t>
      </w:r>
      <w:r w:rsidRPr="00F35A62">
        <w:rPr>
          <w:sz w:val="20"/>
          <w:szCs w:val="20"/>
          <w:lang w:val="en-NZ"/>
        </w:rPr>
        <w:br/>
      </w:r>
    </w:p>
    <w:p w14:paraId="3BD4EA63"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36EF7" w14:textId="77777777" w:rsidR="00E44737" w:rsidRDefault="00E44737">
      <w:r>
        <w:separator/>
      </w:r>
    </w:p>
  </w:endnote>
  <w:endnote w:type="continuationSeparator" w:id="0">
    <w:p w14:paraId="6E253459" w14:textId="77777777" w:rsidR="00E44737" w:rsidRDefault="00E44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Calibri"/>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80317"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6807BE72" wp14:editId="0C220A1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114D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593F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7BE7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B1114D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593F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0E9AC56" wp14:editId="6F85178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030C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CCAC4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9AC5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23030C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CCAC4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FE3E63D" wp14:editId="4504907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DAA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2796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3E63D"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C6DAA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2796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4F343" w14:textId="77777777" w:rsidR="00E44737" w:rsidRDefault="00E44737">
      <w:r>
        <w:separator/>
      </w:r>
    </w:p>
  </w:footnote>
  <w:footnote w:type="continuationSeparator" w:id="0">
    <w:p w14:paraId="2C96E251" w14:textId="77777777" w:rsidR="00E44737" w:rsidRDefault="00E447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11713945">
    <w:abstractNumId w:val="0"/>
  </w:num>
  <w:num w:numId="2" w16cid:durableId="313874458">
    <w:abstractNumId w:val="1"/>
  </w:num>
  <w:num w:numId="3" w16cid:durableId="103673183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74538"/>
    <w:rsid w:val="0023607B"/>
    <w:rsid w:val="00292ED9"/>
    <w:rsid w:val="002C379B"/>
    <w:rsid w:val="002F25EA"/>
    <w:rsid w:val="00322EFB"/>
    <w:rsid w:val="00351D9B"/>
    <w:rsid w:val="00380299"/>
    <w:rsid w:val="00404E5B"/>
    <w:rsid w:val="00414F7B"/>
    <w:rsid w:val="004355DC"/>
    <w:rsid w:val="00457FA7"/>
    <w:rsid w:val="004749B4"/>
    <w:rsid w:val="00475D20"/>
    <w:rsid w:val="00494130"/>
    <w:rsid w:val="004F3523"/>
    <w:rsid w:val="0052122A"/>
    <w:rsid w:val="00553F45"/>
    <w:rsid w:val="00590D60"/>
    <w:rsid w:val="005973B9"/>
    <w:rsid w:val="005B3A56"/>
    <w:rsid w:val="006060CE"/>
    <w:rsid w:val="006140CF"/>
    <w:rsid w:val="0061505C"/>
    <w:rsid w:val="0063497F"/>
    <w:rsid w:val="00641C5E"/>
    <w:rsid w:val="006910C1"/>
    <w:rsid w:val="006B1A33"/>
    <w:rsid w:val="00714354"/>
    <w:rsid w:val="00756185"/>
    <w:rsid w:val="007C4CEE"/>
    <w:rsid w:val="00873DF0"/>
    <w:rsid w:val="008756E6"/>
    <w:rsid w:val="00897EC5"/>
    <w:rsid w:val="008A0763"/>
    <w:rsid w:val="008C3D45"/>
    <w:rsid w:val="008E5477"/>
    <w:rsid w:val="00924DB2"/>
    <w:rsid w:val="009B2D44"/>
    <w:rsid w:val="009B3BC3"/>
    <w:rsid w:val="009D63F4"/>
    <w:rsid w:val="00A07067"/>
    <w:rsid w:val="00A07E82"/>
    <w:rsid w:val="00A35595"/>
    <w:rsid w:val="00A52075"/>
    <w:rsid w:val="00A9710C"/>
    <w:rsid w:val="00AD0C71"/>
    <w:rsid w:val="00AE3E37"/>
    <w:rsid w:val="00AE609A"/>
    <w:rsid w:val="00B21A57"/>
    <w:rsid w:val="00B73206"/>
    <w:rsid w:val="00BE6743"/>
    <w:rsid w:val="00C33602"/>
    <w:rsid w:val="00C41A5D"/>
    <w:rsid w:val="00C47335"/>
    <w:rsid w:val="00C56C74"/>
    <w:rsid w:val="00CD6F55"/>
    <w:rsid w:val="00CF61CA"/>
    <w:rsid w:val="00D908A0"/>
    <w:rsid w:val="00DC3A79"/>
    <w:rsid w:val="00DD50BA"/>
    <w:rsid w:val="00DE3104"/>
    <w:rsid w:val="00DE6170"/>
    <w:rsid w:val="00E30AAC"/>
    <w:rsid w:val="00E44737"/>
    <w:rsid w:val="00E66FAD"/>
    <w:rsid w:val="00E830EB"/>
    <w:rsid w:val="00E95D97"/>
    <w:rsid w:val="00EA6BEE"/>
    <w:rsid w:val="00EA7D51"/>
    <w:rsid w:val="00EB2A16"/>
    <w:rsid w:val="00EC2474"/>
    <w:rsid w:val="00EE34C1"/>
    <w:rsid w:val="00F046EA"/>
    <w:rsid w:val="00F312EA"/>
    <w:rsid w:val="00F35A62"/>
    <w:rsid w:val="00F72EEA"/>
    <w:rsid w:val="00F84CAE"/>
    <w:rsid w:val="00FA41DE"/>
    <w:rsid w:val="00FD47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ED685"/>
  <w15:docId w15:val="{04DC7630-5120-41C3-93D1-7E17CA1B3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E830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79811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2519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18845751147@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3</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haiping</cp:lastModifiedBy>
  <cp:revision>18</cp:revision>
  <dcterms:created xsi:type="dcterms:W3CDTF">2022-12-05T03:58:00Z</dcterms:created>
  <dcterms:modified xsi:type="dcterms:W3CDTF">2022-12-06T08:46:00Z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