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293" w:rsidRPr="0062603B" w:rsidRDefault="00A13293" w:rsidP="00A13293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r w:rsidRPr="0062603B">
        <w:rPr>
          <w:rFonts w:ascii="Times New Roman" w:hAnsi="Times New Roman" w:cs="Times New Roman"/>
          <w:b/>
          <w:sz w:val="28"/>
          <w:szCs w:val="28"/>
        </w:rPr>
        <w:t>Gene Expression Profiling on CML Patients with Philadelphia Translocation</w:t>
      </w:r>
    </w:p>
    <w:p w:rsidR="00AE3E37" w:rsidRDefault="00A13293" w:rsidP="00A13293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proofErr w:type="spellStart"/>
      <w:r>
        <w:rPr>
          <w:rFonts w:ascii="Arial"/>
        </w:rPr>
        <w:t>Safaa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Aldahlawi</w:t>
      </w:r>
      <w:bookmarkEnd w:id="0"/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Hematology </w:t>
      </w:r>
      <w:proofErr w:type="spellStart"/>
      <w:r>
        <w:rPr>
          <w:rFonts w:ascii="Arial"/>
        </w:rPr>
        <w:t>Msc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KAU</w:t>
      </w:r>
      <w:proofErr w:type="gramStart"/>
      <w:r w:rsidR="005973B9">
        <w:rPr>
          <w:rFonts w:ascii="Arial"/>
        </w:rPr>
        <w:t xml:space="preserve">, </w:t>
      </w:r>
      <w:r>
        <w:rPr>
          <w:rFonts w:ascii="Arial"/>
        </w:rPr>
        <w:t xml:space="preserve"> KSA</w:t>
      </w:r>
      <w:proofErr w:type="gramEnd"/>
    </w:p>
    <w:p w:rsidR="00A13293" w:rsidRDefault="00A13293" w:rsidP="00A13293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13293" w:rsidRDefault="00A13293" w:rsidP="00A13293">
      <w:pPr>
        <w:pStyle w:val="BodyText"/>
        <w:spacing w:before="73" w:line="198" w:lineRule="exact"/>
        <w:ind w:left="100" w:right="5987"/>
        <w:rPr>
          <w:rFonts w:ascii="Arial"/>
          <w:sz w:val="21"/>
        </w:rPr>
        <w:sectPr w:rsidR="00A13293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13293" w:rsidRDefault="00A13293" w:rsidP="00A13293">
      <w:pPr>
        <w:pStyle w:val="NormalWeb"/>
        <w:spacing w:line="360" w:lineRule="auto"/>
        <w:rPr>
          <w:color w:val="252525"/>
        </w:rPr>
      </w:pPr>
      <w:r>
        <w:rPr>
          <w:rStyle w:val="Strong"/>
          <w:color w:val="252525"/>
        </w:rPr>
        <w:t>Background:</w:t>
      </w:r>
      <w:r>
        <w:rPr>
          <w:color w:val="252525"/>
        </w:rPr>
        <w:t xml:space="preserve"> </w:t>
      </w:r>
      <w:r w:rsidRPr="00937F1F">
        <w:rPr>
          <w:color w:val="252525"/>
        </w:rPr>
        <w:t>Tyrosine Kinase Inhibitors TKIs and other targeted medicines are crucial in the management of CML patients'</w:t>
      </w:r>
      <w:r>
        <w:rPr>
          <w:color w:val="252525"/>
        </w:rPr>
        <w:t xml:space="preserve"> treatment. However, some patients</w:t>
      </w:r>
      <w:r w:rsidRPr="00937F1F">
        <w:rPr>
          <w:color w:val="252525"/>
        </w:rPr>
        <w:t xml:space="preserve"> do continue to experience</w:t>
      </w:r>
      <w:r>
        <w:rPr>
          <w:color w:val="252525"/>
        </w:rPr>
        <w:t xml:space="preserve"> less favorable and exhibit</w:t>
      </w:r>
      <w:r w:rsidRPr="00937F1F">
        <w:rPr>
          <w:color w:val="252525"/>
        </w:rPr>
        <w:t xml:space="preserve"> resistance</w:t>
      </w:r>
      <w:r>
        <w:rPr>
          <w:color w:val="252525"/>
        </w:rPr>
        <w:t xml:space="preserve"> to therapy. Therefore, the aim of our study is to conduct whole transcriptome sequencing to assess the differential gene expression profile in CML cases according to the patient’s response to TKI-based therapy. </w:t>
      </w:r>
      <w:r>
        <w:rPr>
          <w:rStyle w:val="Strong"/>
          <w:color w:val="252525"/>
        </w:rPr>
        <w:t>Method:</w:t>
      </w:r>
      <w:r>
        <w:rPr>
          <w:color w:val="252525"/>
        </w:rPr>
        <w:t xml:space="preserve"> </w:t>
      </w:r>
      <w:r w:rsidRPr="00937F1F">
        <w:rPr>
          <w:color w:val="252525"/>
        </w:rPr>
        <w:t>Ten samples of human blood taken from CML patients at two different phases (diagnosis stage and relapse stage). All samples were su</w:t>
      </w:r>
      <w:r>
        <w:rPr>
          <w:color w:val="252525"/>
        </w:rPr>
        <w:t>bjected to RNA extraction, and ≤20 µg</w:t>
      </w:r>
      <w:r w:rsidRPr="00937F1F">
        <w:rPr>
          <w:color w:val="252525"/>
        </w:rPr>
        <w:t xml:space="preserve"> of RNA were used for NGS sequencing. The DESeq2 R software was used to do the data analysis.</w:t>
      </w:r>
      <w:r>
        <w:rPr>
          <w:color w:val="252525"/>
        </w:rPr>
        <w:t xml:space="preserve"> </w:t>
      </w:r>
      <w:r w:rsidRPr="001C333D">
        <w:rPr>
          <w:b/>
          <w:bCs/>
          <w:color w:val="252525"/>
        </w:rPr>
        <w:t>Result:</w:t>
      </w:r>
      <w:r>
        <w:rPr>
          <w:color w:val="252525"/>
        </w:rPr>
        <w:t xml:space="preserve"> </w:t>
      </w:r>
      <w:r w:rsidRPr="00937F1F">
        <w:rPr>
          <w:color w:val="252525"/>
        </w:rPr>
        <w:t xml:space="preserve">A list of 499 genes was found to have significantly </w:t>
      </w:r>
      <w:r>
        <w:rPr>
          <w:color w:val="252525"/>
        </w:rPr>
        <w:t>differential</w:t>
      </w:r>
      <w:r w:rsidRPr="00937F1F">
        <w:rPr>
          <w:color w:val="252525"/>
        </w:rPr>
        <w:t xml:space="preserve"> expression levels in the </w:t>
      </w:r>
      <w:r>
        <w:rPr>
          <w:color w:val="252525"/>
        </w:rPr>
        <w:t>two study groups in</w:t>
      </w:r>
      <w:r w:rsidRPr="00937F1F">
        <w:rPr>
          <w:color w:val="252525"/>
        </w:rPr>
        <w:t xml:space="preserve"> CML cases. 122 genes were discovered to be </w:t>
      </w:r>
      <w:r>
        <w:rPr>
          <w:color w:val="252525"/>
        </w:rPr>
        <w:t>upregulated</w:t>
      </w:r>
      <w:r w:rsidRPr="00937F1F">
        <w:rPr>
          <w:color w:val="252525"/>
        </w:rPr>
        <w:t xml:space="preserve"> in the analysis of gene expression, whereas 377 were fo</w:t>
      </w:r>
      <w:r>
        <w:rPr>
          <w:color w:val="252525"/>
        </w:rPr>
        <w:t>und to be downregulated. All de</w:t>
      </w:r>
      <w:r w:rsidRPr="00937F1F">
        <w:rPr>
          <w:color w:val="252525"/>
        </w:rPr>
        <w:t>regulated genes showed expression changes greater than |log2FoldChange|&gt;0. Th</w:t>
      </w:r>
      <w:r>
        <w:rPr>
          <w:color w:val="252525"/>
        </w:rPr>
        <w:t>ere was a highly significant de</w:t>
      </w:r>
      <w:r w:rsidRPr="00937F1F">
        <w:rPr>
          <w:color w:val="252525"/>
        </w:rPr>
        <w:t>regulation of NTRK2 (&gt;+5 fold change) and KRT17 (</w:t>
      </w:r>
      <w:r>
        <w:rPr>
          <w:color w:val="252525"/>
        </w:rPr>
        <w:t xml:space="preserve">&lt; </w:t>
      </w:r>
      <w:r w:rsidRPr="00937F1F">
        <w:rPr>
          <w:color w:val="252525"/>
        </w:rPr>
        <w:t xml:space="preserve">-5 fold change) expression compared to other genes. The </w:t>
      </w:r>
      <w:r>
        <w:rPr>
          <w:color w:val="252525"/>
        </w:rPr>
        <w:t>majority</w:t>
      </w:r>
      <w:r w:rsidRPr="00937F1F">
        <w:rPr>
          <w:color w:val="252525"/>
        </w:rPr>
        <w:t xml:space="preserve"> of the expressed genes </w:t>
      </w:r>
      <w:r>
        <w:rPr>
          <w:color w:val="252525"/>
        </w:rPr>
        <w:t xml:space="preserve">are involved </w:t>
      </w:r>
      <w:r w:rsidRPr="00937F1F">
        <w:rPr>
          <w:color w:val="252525"/>
        </w:rPr>
        <w:t>the cell cycle, PI3K-AKT signaling pathway, cellular senescence, oxidative phosphorylation, microRNA in cancer, FOXO, and P53 signaling pathways, as well as other biological processes.</w:t>
      </w:r>
      <w:r>
        <w:rPr>
          <w:color w:val="252525"/>
        </w:rPr>
        <w:t xml:space="preserve"> </w:t>
      </w:r>
      <w:r>
        <w:rPr>
          <w:rStyle w:val="Strong"/>
          <w:color w:val="252525"/>
        </w:rPr>
        <w:t>Conclusions:</w:t>
      </w:r>
      <w:r>
        <w:rPr>
          <w:color w:val="252525"/>
        </w:rPr>
        <w:t xml:space="preserve"> </w:t>
      </w:r>
      <w:r w:rsidRPr="00732B4D">
        <w:rPr>
          <w:color w:val="252525"/>
        </w:rPr>
        <w:t xml:space="preserve">Our findings </w:t>
      </w:r>
      <w:r>
        <w:rPr>
          <w:color w:val="252525"/>
        </w:rPr>
        <w:t>reveal the</w:t>
      </w:r>
      <w:r w:rsidRPr="00732B4D">
        <w:rPr>
          <w:color w:val="252525"/>
        </w:rPr>
        <w:t xml:space="preserve"> </w:t>
      </w:r>
      <w:r>
        <w:rPr>
          <w:color w:val="252525"/>
        </w:rPr>
        <w:t xml:space="preserve">association </w:t>
      </w:r>
      <w:r w:rsidRPr="00732B4D">
        <w:rPr>
          <w:color w:val="252525"/>
        </w:rPr>
        <w:t xml:space="preserve">between the signaling pathways (cell cycle, PI3-AKT, FOXO, P53, cellular senescence, oxidative phosphorylation, </w:t>
      </w:r>
      <w:proofErr w:type="gramStart"/>
      <w:r w:rsidRPr="00732B4D">
        <w:rPr>
          <w:color w:val="252525"/>
        </w:rPr>
        <w:t>microRNA</w:t>
      </w:r>
      <w:proofErr w:type="gramEnd"/>
      <w:r w:rsidRPr="00732B4D">
        <w:rPr>
          <w:color w:val="252525"/>
        </w:rPr>
        <w:t xml:space="preserve"> in </w:t>
      </w:r>
      <w:r w:rsidRPr="00732B4D">
        <w:rPr>
          <w:color w:val="252525"/>
        </w:rPr>
        <w:lastRenderedPageBreak/>
        <w:t xml:space="preserve">cancer) and treatment resistance in CML cases. These pathways also </w:t>
      </w:r>
      <w:r>
        <w:rPr>
          <w:color w:val="252525"/>
        </w:rPr>
        <w:t xml:space="preserve">showed a higher performance </w:t>
      </w:r>
      <w:r w:rsidRPr="00732B4D">
        <w:rPr>
          <w:color w:val="252525"/>
        </w:rPr>
        <w:t xml:space="preserve">in downstream signaling of the TKI target, BCR-ABL. </w:t>
      </w:r>
      <w:r>
        <w:rPr>
          <w:color w:val="252525"/>
        </w:rPr>
        <w:t>Few target genes require further validation in a larger cohort to confirm their association with TKI resistance</w:t>
      </w:r>
      <w:r w:rsidRPr="00732B4D">
        <w:rPr>
          <w:color w:val="252525"/>
        </w:rPr>
        <w:t xml:space="preserve">. </w:t>
      </w:r>
      <w:r>
        <w:rPr>
          <w:color w:val="252525"/>
        </w:rPr>
        <w:t>This research finding sheds light on several BCR-ABL independent mechanisms that could be associated with the resistance mechanism, which will improve future treatment of CML patients.</w:t>
      </w:r>
    </w:p>
    <w:p w:rsidR="00AE3E37" w:rsidRDefault="008756E6" w:rsidP="00A13293">
      <w:pPr>
        <w:pStyle w:val="Heading3"/>
        <w:spacing w:before="74"/>
        <w:ind w:left="0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5BC4FA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  <w:lang w:val="en-IN" w:eastAsia="en-IN"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293" w:rsidRPr="00A13293" w:rsidRDefault="00A13293" w:rsidP="00A13293">
      <w:pPr>
        <w:pStyle w:val="NormalWeb"/>
        <w:shd w:val="clear" w:color="auto" w:fill="FFFFFF"/>
        <w:spacing w:before="0" w:beforeAutospacing="0" w:after="150" w:afterAutospacing="0"/>
        <w:rPr>
          <w:rFonts w:asciiTheme="minorBidi" w:hAnsiTheme="minorBidi" w:cstheme="minorBidi"/>
          <w:b/>
          <w:bCs/>
          <w:color w:val="002060"/>
          <w:sz w:val="16"/>
          <w:szCs w:val="16"/>
        </w:rPr>
      </w:pPr>
      <w:proofErr w:type="spellStart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>Safaa</w:t>
      </w:r>
      <w:proofErr w:type="spellEnd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 xml:space="preserve"> </w:t>
      </w:r>
      <w:proofErr w:type="spellStart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>AlDahlawi</w:t>
      </w:r>
      <w:proofErr w:type="spellEnd"/>
    </w:p>
    <w:p w:rsidR="00A13293" w:rsidRPr="00A13293" w:rsidRDefault="00A13293" w:rsidP="00A13293">
      <w:pPr>
        <w:pStyle w:val="NormalWeb"/>
        <w:shd w:val="clear" w:color="auto" w:fill="FFFFFF"/>
        <w:spacing w:before="0" w:beforeAutospacing="0" w:after="150" w:afterAutospacing="0"/>
        <w:rPr>
          <w:rFonts w:asciiTheme="minorBidi" w:hAnsiTheme="minorBidi" w:cstheme="minorBidi"/>
          <w:b/>
          <w:bCs/>
          <w:color w:val="002060"/>
          <w:sz w:val="16"/>
          <w:szCs w:val="16"/>
        </w:rPr>
      </w:pPr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>Molecular Lab Specialist</w:t>
      </w:r>
      <w:r>
        <w:rPr>
          <w:rFonts w:asciiTheme="minorBidi" w:hAnsiTheme="minorBidi" w:cstheme="minorBidi"/>
          <w:b/>
          <w:bCs/>
          <w:color w:val="002060"/>
          <w:sz w:val="16"/>
          <w:szCs w:val="16"/>
        </w:rPr>
        <w:t xml:space="preserve">- </w:t>
      </w:r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>Center of Excellence in Genomic Medicine</w:t>
      </w:r>
    </w:p>
    <w:p w:rsidR="00A13293" w:rsidRDefault="00A13293" w:rsidP="00A13293">
      <w:pPr>
        <w:pStyle w:val="NormalWeb"/>
        <w:shd w:val="clear" w:color="auto" w:fill="FFFFFF"/>
        <w:spacing w:before="0" w:beforeAutospacing="0" w:after="150" w:afterAutospacing="0"/>
        <w:rPr>
          <w:rFonts w:asciiTheme="minorBidi" w:hAnsiTheme="minorBidi" w:cstheme="minorBidi"/>
          <w:b/>
          <w:bCs/>
          <w:color w:val="002060"/>
          <w:sz w:val="16"/>
          <w:szCs w:val="16"/>
        </w:rPr>
      </w:pPr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 xml:space="preserve">Hematology </w:t>
      </w:r>
      <w:proofErr w:type="spellStart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>Msc</w:t>
      </w:r>
      <w:proofErr w:type="spellEnd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 xml:space="preserve"> </w:t>
      </w:r>
      <w:r>
        <w:rPr>
          <w:rFonts w:asciiTheme="minorBidi" w:hAnsiTheme="minorBidi" w:cstheme="minorBidi"/>
          <w:b/>
          <w:bCs/>
          <w:color w:val="002060"/>
          <w:sz w:val="16"/>
          <w:szCs w:val="16"/>
        </w:rPr>
        <w:t>-</w:t>
      </w:r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 xml:space="preserve">King </w:t>
      </w:r>
      <w:proofErr w:type="spellStart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>Abdulaziz</w:t>
      </w:r>
      <w:proofErr w:type="spellEnd"/>
      <w:r w:rsidRPr="00A13293">
        <w:rPr>
          <w:rFonts w:asciiTheme="minorBidi" w:hAnsiTheme="minorBidi" w:cstheme="minorBidi"/>
          <w:b/>
          <w:bCs/>
          <w:color w:val="002060"/>
          <w:sz w:val="16"/>
          <w:szCs w:val="16"/>
        </w:rPr>
        <w:t xml:space="preserve"> University</w:t>
      </w:r>
    </w:p>
    <w:p w:rsidR="00A13293" w:rsidRPr="00A13293" w:rsidRDefault="00A13293" w:rsidP="00A13293">
      <w:pPr>
        <w:pStyle w:val="NormalWeb"/>
        <w:shd w:val="clear" w:color="auto" w:fill="FFFFFF"/>
        <w:spacing w:before="0" w:beforeAutospacing="0" w:after="150" w:afterAutospacing="0"/>
        <w:rPr>
          <w:rFonts w:asciiTheme="minorBidi" w:hAnsiTheme="minorBidi" w:cstheme="minorBidi"/>
          <w:b/>
          <w:bCs/>
          <w:color w:val="002060"/>
          <w:sz w:val="16"/>
          <w:szCs w:val="16"/>
        </w:rPr>
      </w:pPr>
      <w:r>
        <w:rPr>
          <w:rFonts w:asciiTheme="minorBidi" w:hAnsiTheme="minorBidi" w:cstheme="minorBidi"/>
          <w:b/>
          <w:bCs/>
          <w:color w:val="002060"/>
          <w:sz w:val="16"/>
          <w:szCs w:val="16"/>
        </w:rPr>
        <w:t>Saudi Arabia</w:t>
      </w:r>
    </w:p>
    <w:p w:rsidR="00EA7D51" w:rsidRPr="00A13293" w:rsidRDefault="00A9710C" w:rsidP="00A13293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A13293" w:rsidRPr="007C0BF4">
          <w:rPr>
            <w:rStyle w:val="Hyperlink"/>
            <w:rFonts w:ascii="Arial"/>
            <w:sz w:val="14"/>
          </w:rPr>
          <w:t>safaa_aldahlawi@yahoo.com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C33770" id="Line 3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13293" w:rsidRDefault="00EA7D51" w:rsidP="00A13293">
      <w:pPr>
        <w:autoSpaceDE w:val="0"/>
        <w:autoSpaceDN w:val="0"/>
        <w:adjustRightInd w:val="0"/>
        <w:rPr>
          <w:rFonts w:ascii="Minion Pro"/>
          <w:sz w:val="26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A13293">
        <w:rPr>
          <w:sz w:val="20"/>
          <w:szCs w:val="20"/>
          <w:lang w:val="en-NZ"/>
        </w:rPr>
        <w:t>safaa aldahlawi</w:t>
      </w:r>
      <w:r w:rsidRPr="00F35A62">
        <w:rPr>
          <w:sz w:val="20"/>
          <w:szCs w:val="20"/>
          <w:lang w:val="en-NZ"/>
        </w:rPr>
        <w:br/>
        <w:t>Contact number:</w:t>
      </w:r>
      <w:r w:rsidR="00A13293">
        <w:rPr>
          <w:sz w:val="20"/>
          <w:szCs w:val="20"/>
          <w:lang w:val="en-NZ"/>
        </w:rPr>
        <w:t xml:space="preserve"> 00966590800384</w:t>
      </w:r>
      <w:r w:rsidR="00A13293">
        <w:rPr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>Session na</w:t>
      </w:r>
      <w:r w:rsidR="00A13293">
        <w:rPr>
          <w:sz w:val="20"/>
          <w:szCs w:val="20"/>
          <w:lang w:val="en-NZ"/>
        </w:rPr>
        <w:t xml:space="preserve">me/ number: molecular </w:t>
      </w:r>
      <w:proofErr w:type="spellStart"/>
      <w:r w:rsidR="00A13293">
        <w:rPr>
          <w:sz w:val="20"/>
          <w:szCs w:val="20"/>
          <w:lang w:val="en-NZ"/>
        </w:rPr>
        <w:t>genatics</w:t>
      </w:r>
      <w:proofErr w:type="spellEnd"/>
      <w:r w:rsidR="00A13293">
        <w:rPr>
          <w:sz w:val="20"/>
          <w:szCs w:val="20"/>
          <w:lang w:val="en-NZ"/>
        </w:rPr>
        <w:br/>
        <w:t xml:space="preserve">Category: </w:t>
      </w:r>
      <w:proofErr w:type="gramStart"/>
      <w:r w:rsidR="00A13293">
        <w:rPr>
          <w:sz w:val="20"/>
          <w:szCs w:val="20"/>
          <w:lang w:val="en-NZ"/>
        </w:rPr>
        <w:t>( Poster</w:t>
      </w:r>
      <w:proofErr w:type="gramEnd"/>
      <w:r w:rsidR="00A13293">
        <w:rPr>
          <w:sz w:val="20"/>
          <w:szCs w:val="20"/>
          <w:lang w:val="en-NZ"/>
        </w:rPr>
        <w:t xml:space="preserve"> presentation</w:t>
      </w:r>
    </w:p>
    <w:sectPr w:rsidR="00AE3E37" w:rsidRPr="00A13293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C48" w:rsidRDefault="00092C48">
      <w:r>
        <w:separator/>
      </w:r>
    </w:p>
  </w:endnote>
  <w:endnote w:type="continuationSeparator" w:id="0">
    <w:p w:rsidR="00092C48" w:rsidRDefault="00092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37E56F9" id="Text Box 2" o:spid="_x0000_s1028" type="#_x0000_t202" style="position:absolute;margin-left:252.1pt;margin-top:799.05pt;width:91.9pt;height:24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D6ACFB3" id="Text Box 1" o:spid="_x0000_s1029" type="#_x0000_t202" style="position:absolute;margin-left:468.9pt;margin-top:798.8pt;width:91.4pt;height:2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C48" w:rsidRDefault="00092C48">
      <w:r>
        <w:separator/>
      </w:r>
    </w:p>
  </w:footnote>
  <w:footnote w:type="continuationSeparator" w:id="0">
    <w:p w:rsidR="00092C48" w:rsidRDefault="00092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92C48"/>
    <w:rsid w:val="000B4CAA"/>
    <w:rsid w:val="000E2911"/>
    <w:rsid w:val="001263DF"/>
    <w:rsid w:val="00292ED9"/>
    <w:rsid w:val="00327260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6B7088"/>
    <w:rsid w:val="00714354"/>
    <w:rsid w:val="00873DF0"/>
    <w:rsid w:val="008756E6"/>
    <w:rsid w:val="00897EC5"/>
    <w:rsid w:val="008A0763"/>
    <w:rsid w:val="008D64FC"/>
    <w:rsid w:val="008E5477"/>
    <w:rsid w:val="009B2D44"/>
    <w:rsid w:val="00A07E82"/>
    <w:rsid w:val="00A13293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A1329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32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A1329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32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afaa_aldahlawi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omics</cp:lastModifiedBy>
  <cp:revision>2</cp:revision>
  <dcterms:created xsi:type="dcterms:W3CDTF">2022-12-26T09:33:00Z</dcterms:created>
  <dcterms:modified xsi:type="dcterms:W3CDTF">2022-12-26T09:33:00Z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