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CBBB5" w14:textId="66AC4A6D" w:rsidR="00AE3E37" w:rsidRDefault="00032D9D" w:rsidP="000534A1">
      <w:pPr>
        <w:pStyle w:val="Heading1"/>
        <w:spacing w:before="170"/>
        <w:ind w:left="0"/>
        <w:jc w:val="both"/>
      </w:pPr>
      <w:bookmarkStart w:id="0" w:name="_Hlk118892925"/>
      <w:bookmarkStart w:id="1" w:name="_Hlk118893356"/>
      <w:r w:rsidRPr="009E315B">
        <w:rPr>
          <w:color w:val="337AB7"/>
        </w:rPr>
        <w:t xml:space="preserve">Electrocoagulation flotation-based zero chemical operation of low cost </w:t>
      </w:r>
      <w:bookmarkEnd w:id="0"/>
      <w:r w:rsidRPr="009E315B">
        <w:rPr>
          <w:color w:val="337AB7"/>
        </w:rPr>
        <w:t xml:space="preserve">and energy </w:t>
      </w:r>
      <w:bookmarkEnd w:id="1"/>
      <w:r w:rsidRPr="009E315B">
        <w:rPr>
          <w:color w:val="337AB7"/>
        </w:rPr>
        <w:t>efficient municipal wastewater (pre-)treatment</w:t>
      </w:r>
    </w:p>
    <w:p w14:paraId="0C7ADC1A" w14:textId="77777777" w:rsidR="00032D9D" w:rsidRPr="00032D9D" w:rsidRDefault="00032D9D" w:rsidP="00032D9D">
      <w:pPr>
        <w:pStyle w:val="BodyText"/>
        <w:rPr>
          <w:rFonts w:ascii="Arial"/>
          <w:lang w:val="nl-BE"/>
        </w:rPr>
      </w:pPr>
      <w:r w:rsidRPr="00032D9D">
        <w:rPr>
          <w:rFonts w:ascii="Arial"/>
          <w:lang w:val="nl-BE"/>
        </w:rPr>
        <w:t>Nazia Hassan</w:t>
      </w:r>
      <w:r w:rsidRPr="00032D9D">
        <w:rPr>
          <w:rFonts w:ascii="Arial"/>
          <w:vertAlign w:val="superscript"/>
          <w:lang w:val="nl-BE"/>
        </w:rPr>
        <w:t>1,2</w:t>
      </w:r>
      <w:r w:rsidRPr="00032D9D">
        <w:rPr>
          <w:rFonts w:ascii="Arial"/>
          <w:lang w:val="nl-BE"/>
        </w:rPr>
        <w:t>, Dries Parmentier</w:t>
      </w:r>
      <w:r w:rsidRPr="00032D9D">
        <w:rPr>
          <w:rFonts w:ascii="Arial"/>
          <w:vertAlign w:val="superscript"/>
          <w:lang w:val="nl-BE"/>
        </w:rPr>
        <w:t>1,3</w:t>
      </w:r>
      <w:r w:rsidRPr="00032D9D">
        <w:rPr>
          <w:rFonts w:ascii="Arial"/>
          <w:lang w:val="nl-BE"/>
        </w:rPr>
        <w:t>, Stijn Wim Henk Van Hulle</w:t>
      </w:r>
      <w:r w:rsidRPr="00032D9D">
        <w:rPr>
          <w:rFonts w:ascii="Arial"/>
          <w:vertAlign w:val="superscript"/>
          <w:lang w:val="nl-BE"/>
        </w:rPr>
        <w:t>1</w:t>
      </w:r>
      <w:r w:rsidRPr="00032D9D">
        <w:rPr>
          <w:rFonts w:ascii="Arial"/>
          <w:b/>
          <w:bCs/>
          <w:lang w:val="nl-BE"/>
        </w:rPr>
        <w:t> </w:t>
      </w:r>
      <w:r w:rsidRPr="00032D9D">
        <w:rPr>
          <w:rFonts w:ascii="Arial"/>
          <w:lang w:val="nl-BE"/>
        </w:rPr>
        <w:t> </w:t>
      </w:r>
    </w:p>
    <w:p w14:paraId="605A7F86" w14:textId="5CD5CE78" w:rsidR="00032D9D" w:rsidRPr="00032D9D" w:rsidRDefault="00032D9D" w:rsidP="00032D9D">
      <w:pPr>
        <w:pStyle w:val="BodyText"/>
        <w:rPr>
          <w:rFonts w:ascii="Arial"/>
          <w:lang w:val="en-GB"/>
        </w:rPr>
      </w:pPr>
      <w:r w:rsidRPr="00032D9D">
        <w:rPr>
          <w:rFonts w:ascii="Arial"/>
          <w:vertAlign w:val="superscript"/>
          <w:lang w:val="en-GB"/>
        </w:rPr>
        <w:t>1</w:t>
      </w:r>
      <w:r w:rsidRPr="00032D9D">
        <w:rPr>
          <w:rFonts w:ascii="Arial"/>
          <w:lang w:val="en-GB"/>
        </w:rPr>
        <w:t>LIWET group, Department of Green Chemistry and Technology, UGent, Belgium</w:t>
      </w:r>
    </w:p>
    <w:p w14:paraId="0ADB2CB9" w14:textId="115EC80F" w:rsidR="00032D9D" w:rsidRPr="00032D9D" w:rsidRDefault="00032D9D" w:rsidP="00032D9D">
      <w:pPr>
        <w:pStyle w:val="BodyText"/>
        <w:rPr>
          <w:rFonts w:ascii="Arial"/>
          <w:lang w:val="en-GB"/>
        </w:rPr>
      </w:pPr>
      <w:r w:rsidRPr="00032D9D">
        <w:rPr>
          <w:rFonts w:ascii="Arial"/>
          <w:vertAlign w:val="superscript"/>
          <w:lang w:val="en-GB"/>
        </w:rPr>
        <w:t>2</w:t>
      </w:r>
      <w:r w:rsidRPr="00032D9D">
        <w:rPr>
          <w:rFonts w:ascii="Arial"/>
          <w:lang w:val="en-GB"/>
        </w:rPr>
        <w:t>Environmental Science Discipline, KU, Bangladesh</w:t>
      </w:r>
    </w:p>
    <w:p w14:paraId="4EEDEB27" w14:textId="7D9D1C42" w:rsidR="00AE3E37" w:rsidRDefault="00032D9D" w:rsidP="00032D9D">
      <w:pPr>
        <w:pStyle w:val="BodyText"/>
        <w:rPr>
          <w:rFonts w:ascii="Arial"/>
          <w:sz w:val="20"/>
        </w:rPr>
      </w:pPr>
      <w:r w:rsidRPr="009E315B">
        <w:rPr>
          <w:rFonts w:ascii="Arial"/>
          <w:vertAlign w:val="superscript"/>
          <w:lang w:val="en-GB"/>
        </w:rPr>
        <w:t>3</w:t>
      </w:r>
      <w:r w:rsidRPr="009E315B">
        <w:rPr>
          <w:rFonts w:ascii="Arial"/>
          <w:lang w:val="en-GB"/>
        </w:rPr>
        <w:t>Noah Water Solutions bvba, Belgium</w:t>
      </w:r>
    </w:p>
    <w:p w14:paraId="18630C70"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2AE0F34A" w14:textId="16DD0F96" w:rsidR="00AE3E37" w:rsidRDefault="00A9710C">
      <w:pPr>
        <w:pStyle w:val="Heading3"/>
        <w:spacing w:before="147"/>
        <w:jc w:val="both"/>
      </w:pPr>
      <w:r>
        <w:rPr>
          <w:color w:val="BF5A14"/>
        </w:rPr>
        <w:t>Abstract</w:t>
      </w:r>
      <w:r w:rsidR="00404E5B">
        <w:rPr>
          <w:color w:val="BF5A14"/>
        </w:rPr>
        <w:t xml:space="preserve"> </w:t>
      </w:r>
    </w:p>
    <w:p w14:paraId="40164A7A" w14:textId="0D7213CB" w:rsidR="002471D8" w:rsidRDefault="00AE13C6" w:rsidP="00AE13C6">
      <w:pPr>
        <w:pStyle w:val="Heading3"/>
        <w:spacing w:before="74"/>
        <w:jc w:val="both"/>
        <w:rPr>
          <w:rFonts w:ascii="Tw Cen MT" w:eastAsia="Tw Cen MT" w:hAnsi="Tw Cen MT" w:cs="Tw Cen MT"/>
          <w:b w:val="0"/>
          <w:bCs w:val="0"/>
          <w:sz w:val="18"/>
          <w:szCs w:val="18"/>
        </w:rPr>
      </w:pPr>
      <w:r w:rsidRPr="00AE13C6">
        <w:rPr>
          <w:rFonts w:ascii="Tw Cen MT" w:eastAsia="Tw Cen MT" w:hAnsi="Tw Cen MT" w:cs="Tw Cen MT"/>
          <w:b w:val="0"/>
          <w:bCs w:val="0"/>
          <w:sz w:val="18"/>
          <w:szCs w:val="18"/>
        </w:rPr>
        <w:t>Statement of the Problem: Municipal wastewater (MWW) treatment technology application into real world depends on efficient operation at lower energy and chemical costs when reducing the environmental pollution. In the last two decades, electrocoagulation-flotation (ECF) was investigated with either synthetic MWW or with adjusted pH and conductivity, utilizing different current densities (CDs) in batch mode[1,2</w:t>
      </w:r>
      <w:r w:rsidR="00A42E3E">
        <w:rPr>
          <w:rFonts w:ascii="Tw Cen MT" w:eastAsia="Tw Cen MT" w:hAnsi="Tw Cen MT" w:cs="Tw Cen MT"/>
          <w:b w:val="0"/>
          <w:bCs w:val="0"/>
          <w:sz w:val="18"/>
          <w:szCs w:val="18"/>
        </w:rPr>
        <w:t>,3</w:t>
      </w:r>
      <w:r w:rsidRPr="00AE13C6">
        <w:rPr>
          <w:rFonts w:ascii="Tw Cen MT" w:eastAsia="Tw Cen MT" w:hAnsi="Tw Cen MT" w:cs="Tw Cen MT"/>
          <w:b w:val="0"/>
          <w:bCs w:val="0"/>
          <w:sz w:val="18"/>
          <w:szCs w:val="18"/>
        </w:rPr>
        <w:t xml:space="preserve">]. This study aimed to optimize ECF for real waste water treatment in a continuous mode. Methodology &amp; Theoretical Orientation: </w:t>
      </w:r>
      <w:r w:rsidRPr="00AE13C6">
        <w:rPr>
          <w:rFonts w:ascii="Tw Cen MT" w:eastAsia="Tw Cen MT" w:hAnsi="Tw Cen MT" w:cs="Tw Cen MT"/>
          <w:b w:val="0"/>
          <w:bCs w:val="0"/>
          <w:sz w:val="18"/>
          <w:szCs w:val="18"/>
          <w:lang w:val="en"/>
        </w:rPr>
        <w:t>Iron (Fe) sacrificial tubular metal anode used to treat</w:t>
      </w:r>
      <w:r w:rsidRPr="00AE13C6">
        <w:rPr>
          <w:rFonts w:ascii="Tw Cen MT" w:eastAsia="Tw Cen MT" w:hAnsi="Tw Cen MT" w:cs="Tw Cen MT"/>
          <w:b w:val="0"/>
          <w:bCs w:val="0"/>
          <w:sz w:val="18"/>
          <w:szCs w:val="18"/>
        </w:rPr>
        <w:t xml:space="preserve"> f</w:t>
      </w:r>
      <w:r w:rsidRPr="00AE13C6">
        <w:rPr>
          <w:rFonts w:ascii="Tw Cen MT" w:eastAsia="Tw Cen MT" w:hAnsi="Tw Cen MT" w:cs="Tw Cen MT"/>
          <w:b w:val="0"/>
          <w:bCs w:val="0"/>
          <w:sz w:val="18"/>
          <w:szCs w:val="18"/>
          <w:lang w:val="en"/>
        </w:rPr>
        <w:t>reshly collected MWW at 10L/h flow rate. Different cathode materials</w:t>
      </w:r>
      <w:r w:rsidR="00BB0E19">
        <w:rPr>
          <w:rFonts w:ascii="Tw Cen MT" w:eastAsia="Tw Cen MT" w:hAnsi="Tw Cen MT" w:cs="Tw Cen MT"/>
          <w:b w:val="0"/>
          <w:bCs w:val="0"/>
          <w:sz w:val="18"/>
          <w:szCs w:val="18"/>
          <w:lang w:val="en"/>
        </w:rPr>
        <w:t xml:space="preserve"> (copper(Cu) and stainless steel(SS))</w:t>
      </w:r>
      <w:r w:rsidRPr="00AE13C6">
        <w:rPr>
          <w:rFonts w:ascii="Tw Cen MT" w:eastAsia="Tw Cen MT" w:hAnsi="Tw Cen MT" w:cs="Tw Cen MT"/>
          <w:b w:val="0"/>
          <w:bCs w:val="0"/>
          <w:sz w:val="18"/>
          <w:szCs w:val="18"/>
          <w:lang w:val="en"/>
        </w:rPr>
        <w:t>, two or three times recirculation (2R and 3R) of ECF treated effluents and alternating plus current (APC) supply versus direct current (DC) supply were set as different parameters for optimization at various CDs (</w:t>
      </w:r>
      <w:bookmarkStart w:id="2" w:name="_Hlk118764171"/>
      <w:r w:rsidRPr="00AE13C6">
        <w:rPr>
          <w:rFonts w:ascii="Tw Cen MT" w:eastAsia="Tw Cen MT" w:hAnsi="Tw Cen MT" w:cs="Tw Cen MT"/>
          <w:b w:val="0"/>
          <w:bCs w:val="0"/>
          <w:sz w:val="18"/>
          <w:szCs w:val="18"/>
          <w:lang w:val="en"/>
        </w:rPr>
        <w:t>i.e., 12,24,36,40</w:t>
      </w:r>
      <w:bookmarkEnd w:id="2"/>
      <w:r w:rsidRPr="00AE13C6">
        <w:rPr>
          <w:rFonts w:ascii="Tw Cen MT" w:eastAsia="Tw Cen MT" w:hAnsi="Tw Cen MT" w:cs="Tw Cen MT"/>
          <w:b w:val="0"/>
          <w:bCs w:val="0"/>
          <w:sz w:val="18"/>
          <w:szCs w:val="18"/>
          <w:lang w:val="en"/>
        </w:rPr>
        <w:t>,80,120 and 160 A/m</w:t>
      </w:r>
      <w:r w:rsidRPr="00AE13C6">
        <w:rPr>
          <w:rFonts w:ascii="Tw Cen MT" w:eastAsia="Tw Cen MT" w:hAnsi="Tw Cen MT" w:cs="Tw Cen MT"/>
          <w:b w:val="0"/>
          <w:bCs w:val="0"/>
          <w:sz w:val="18"/>
          <w:szCs w:val="18"/>
          <w:vertAlign w:val="superscript"/>
          <w:lang w:val="en"/>
        </w:rPr>
        <w:t>2</w:t>
      </w:r>
      <w:r w:rsidRPr="00AE13C6">
        <w:rPr>
          <w:rFonts w:ascii="Tw Cen MT" w:eastAsia="Tw Cen MT" w:hAnsi="Tw Cen MT" w:cs="Tw Cen MT"/>
          <w:b w:val="0"/>
          <w:bCs w:val="0"/>
          <w:sz w:val="18"/>
          <w:szCs w:val="18"/>
          <w:lang w:val="en"/>
        </w:rPr>
        <w:t xml:space="preserve">). Optimized performances were evaluated based on removal of total Chemical oxygen demand(tCOD), total phosphate(TP), </w:t>
      </w:r>
      <w:r w:rsidR="00D12319">
        <w:rPr>
          <w:rFonts w:ascii="Tw Cen MT" w:eastAsia="Tw Cen MT" w:hAnsi="Tw Cen MT" w:cs="Tw Cen MT"/>
          <w:b w:val="0"/>
          <w:bCs w:val="0"/>
          <w:sz w:val="18"/>
          <w:szCs w:val="18"/>
          <w:lang w:val="en"/>
        </w:rPr>
        <w:t>total nitrogen (TN)</w:t>
      </w:r>
      <w:r w:rsidRPr="00AE13C6">
        <w:rPr>
          <w:rFonts w:ascii="Tw Cen MT" w:eastAsia="Tw Cen MT" w:hAnsi="Tw Cen MT" w:cs="Tw Cen MT"/>
          <w:b w:val="0"/>
          <w:bCs w:val="0"/>
          <w:sz w:val="18"/>
          <w:szCs w:val="18"/>
          <w:lang w:val="en"/>
        </w:rPr>
        <w:t>and three types of total operational expenses (OPEX) (sum of energy and electrode consumption). H</w:t>
      </w:r>
      <w:r w:rsidRPr="00AE13C6">
        <w:rPr>
          <w:rFonts w:ascii="Tw Cen MT" w:eastAsia="Tw Cen MT" w:hAnsi="Tw Cen MT" w:cs="Tw Cen MT"/>
          <w:b w:val="0"/>
          <w:bCs w:val="0"/>
          <w:sz w:val="18"/>
          <w:szCs w:val="18"/>
        </w:rPr>
        <w:t xml:space="preserve">eavy metals analysis were done also [3]. Findings: </w:t>
      </w:r>
      <w:r w:rsidRPr="00AE13C6">
        <w:rPr>
          <w:rFonts w:ascii="Tw Cen MT" w:eastAsia="Tw Cen MT" w:hAnsi="Tw Cen MT" w:cs="Tw Cen MT"/>
          <w:b w:val="0"/>
          <w:bCs w:val="0"/>
          <w:sz w:val="18"/>
          <w:szCs w:val="18"/>
          <w:lang w:val="en"/>
        </w:rPr>
        <w:t>Operation of Fe ECF unit with 2R at 12 A/m</w:t>
      </w:r>
      <w:r w:rsidRPr="00AE13C6">
        <w:rPr>
          <w:rFonts w:ascii="Tw Cen MT" w:eastAsia="Tw Cen MT" w:hAnsi="Tw Cen MT" w:cs="Tw Cen MT"/>
          <w:b w:val="0"/>
          <w:bCs w:val="0"/>
          <w:sz w:val="18"/>
          <w:szCs w:val="18"/>
          <w:vertAlign w:val="superscript"/>
          <w:lang w:val="en"/>
        </w:rPr>
        <w:t>2</w:t>
      </w:r>
      <w:r w:rsidRPr="00AE13C6">
        <w:rPr>
          <w:rFonts w:ascii="Tw Cen MT" w:eastAsia="Tw Cen MT" w:hAnsi="Tw Cen MT" w:cs="Tw Cen MT"/>
          <w:b w:val="0"/>
          <w:bCs w:val="0"/>
          <w:sz w:val="18"/>
          <w:szCs w:val="18"/>
          <w:lang w:val="en"/>
        </w:rPr>
        <w:t xml:space="preserve"> resulted in optimized treatment performance, i.e. 78±11 % tCOD, 85±0.5 % TP and  32±22%TN removal at the lowest total OPEX (0.032± 0.001 Euro(€)/m</w:t>
      </w:r>
      <w:r w:rsidRPr="00AE13C6">
        <w:rPr>
          <w:rFonts w:ascii="Tw Cen MT" w:eastAsia="Tw Cen MT" w:hAnsi="Tw Cen MT" w:cs="Tw Cen MT"/>
          <w:b w:val="0"/>
          <w:bCs w:val="0"/>
          <w:sz w:val="18"/>
          <w:szCs w:val="18"/>
          <w:vertAlign w:val="superscript"/>
          <w:lang w:val="en"/>
        </w:rPr>
        <w:t>3</w:t>
      </w:r>
      <w:r w:rsidRPr="00AE13C6">
        <w:rPr>
          <w:rFonts w:ascii="Tw Cen MT" w:eastAsia="Tw Cen MT" w:hAnsi="Tw Cen MT" w:cs="Tw Cen MT"/>
          <w:b w:val="0"/>
          <w:bCs w:val="0"/>
          <w:sz w:val="18"/>
          <w:szCs w:val="18"/>
          <w:lang w:val="en"/>
        </w:rPr>
        <w:t>)[Figure 1]. The obtained lowest OPEX were 0.13± 0.07€/Kg tCOD removal and 24.60±3.85 €/Kg TP removal. Sludge production were also found lowest. Fe ECF were found beneficial to remove heavy metals (93±9</w:t>
      </w:r>
      <w:r w:rsidRPr="00AE13C6" w:rsidDel="008F1487">
        <w:rPr>
          <w:rFonts w:ascii="Tw Cen MT" w:eastAsia="Tw Cen MT" w:hAnsi="Tw Cen MT" w:cs="Tw Cen MT"/>
          <w:b w:val="0"/>
          <w:bCs w:val="0"/>
          <w:sz w:val="18"/>
          <w:szCs w:val="18"/>
          <w:lang w:val="en"/>
        </w:rPr>
        <w:t xml:space="preserve"> </w:t>
      </w:r>
      <w:r w:rsidRPr="00AE13C6">
        <w:rPr>
          <w:rFonts w:ascii="Tw Cen MT" w:eastAsia="Tw Cen MT" w:hAnsi="Tw Cen MT" w:cs="Tw Cen MT"/>
          <w:b w:val="0"/>
          <w:bCs w:val="0"/>
          <w:sz w:val="18"/>
          <w:szCs w:val="18"/>
          <w:lang w:val="en"/>
        </w:rPr>
        <w:t xml:space="preserve">% Zn, 70±15% Pb and Cu 49±10%). </w:t>
      </w:r>
      <w:r w:rsidRPr="00AE13C6">
        <w:rPr>
          <w:rFonts w:ascii="Tw Cen MT" w:eastAsia="Tw Cen MT" w:hAnsi="Tw Cen MT" w:cs="Tw Cen MT"/>
          <w:b w:val="0"/>
          <w:bCs w:val="0"/>
          <w:sz w:val="18"/>
          <w:szCs w:val="18"/>
        </w:rPr>
        <w:t>Conclusion &amp; Significance: Effluent of 2R Fe ECF at CD 12A/m</w:t>
      </w:r>
      <w:r w:rsidRPr="00AE13C6">
        <w:rPr>
          <w:rFonts w:ascii="Tw Cen MT" w:eastAsia="Tw Cen MT" w:hAnsi="Tw Cen MT" w:cs="Tw Cen MT"/>
          <w:b w:val="0"/>
          <w:bCs w:val="0"/>
          <w:sz w:val="18"/>
          <w:szCs w:val="18"/>
          <w:vertAlign w:val="superscript"/>
        </w:rPr>
        <w:t>2</w:t>
      </w:r>
      <w:r w:rsidRPr="00AE13C6">
        <w:rPr>
          <w:rFonts w:ascii="Tw Cen MT" w:eastAsia="Tw Cen MT" w:hAnsi="Tw Cen MT" w:cs="Tw Cen MT"/>
          <w:b w:val="0"/>
          <w:bCs w:val="0"/>
          <w:sz w:val="18"/>
          <w:szCs w:val="18"/>
        </w:rPr>
        <w:t xml:space="preserve"> (Opt2) contained higher biodegradable matter and TN,  suitable for subsequent simple biological treatment. </w:t>
      </w:r>
      <w:r w:rsidR="00004806">
        <w:rPr>
          <w:rFonts w:ascii="Tw Cen MT" w:eastAsia="Tw Cen MT" w:hAnsi="Tw Cen MT" w:cs="Tw Cen MT"/>
          <w:b w:val="0"/>
          <w:bCs w:val="0"/>
          <w:sz w:val="18"/>
          <w:szCs w:val="18"/>
        </w:rPr>
        <w:t xml:space="preserve">In summary, </w:t>
      </w:r>
      <w:r w:rsidR="00004806">
        <w:rPr>
          <w:rFonts w:ascii="Tw Cen MT" w:eastAsia="Tw Cen MT" w:hAnsi="Tw Cen MT" w:cs="Tw Cen MT"/>
          <w:b w:val="0"/>
          <w:bCs w:val="0"/>
          <w:sz w:val="18"/>
          <w:szCs w:val="18"/>
        </w:rPr>
        <w:t>ECF</w:t>
      </w:r>
      <w:r w:rsidR="00004806">
        <w:rPr>
          <w:rFonts w:ascii="Tw Cen MT" w:eastAsia="Tw Cen MT" w:hAnsi="Tw Cen MT" w:cs="Tw Cen MT"/>
          <w:b w:val="0"/>
          <w:bCs w:val="0"/>
          <w:sz w:val="18"/>
          <w:szCs w:val="18"/>
        </w:rPr>
        <w:t xml:space="preserve"> technology become a feasible technology by f</w:t>
      </w:r>
      <w:r w:rsidRPr="00AE13C6">
        <w:rPr>
          <w:rFonts w:ascii="Tw Cen MT" w:eastAsia="Tw Cen MT" w:hAnsi="Tw Cen MT" w:cs="Tw Cen MT"/>
          <w:b w:val="0"/>
          <w:bCs w:val="0"/>
          <w:sz w:val="18"/>
          <w:szCs w:val="18"/>
        </w:rPr>
        <w:t>acilitating zero chemical use and energy efficient low cost MWW pre-treatment unit</w:t>
      </w:r>
      <w:r w:rsidR="0013631C" w:rsidRPr="0013631C">
        <w:rPr>
          <w:rFonts w:ascii="Tw Cen MT" w:eastAsia="Tw Cen MT" w:hAnsi="Tw Cen MT" w:cs="Tw Cen MT"/>
          <w:b w:val="0"/>
          <w:bCs w:val="0"/>
          <w:sz w:val="18"/>
          <w:szCs w:val="18"/>
        </w:rPr>
        <w:t xml:space="preserve"> </w:t>
      </w:r>
      <w:r w:rsidR="0013631C" w:rsidRPr="00AE13C6">
        <w:rPr>
          <w:rFonts w:ascii="Tw Cen MT" w:eastAsia="Tw Cen MT" w:hAnsi="Tw Cen MT" w:cs="Tw Cen MT"/>
          <w:b w:val="0"/>
          <w:bCs w:val="0"/>
          <w:sz w:val="18"/>
          <w:szCs w:val="18"/>
        </w:rPr>
        <w:t>around the world</w:t>
      </w:r>
      <w:r w:rsidRPr="00AE13C6">
        <w:rPr>
          <w:rFonts w:ascii="Tw Cen MT" w:eastAsia="Tw Cen MT" w:hAnsi="Tw Cen MT" w:cs="Tw Cen MT"/>
          <w:b w:val="0"/>
          <w:bCs w:val="0"/>
          <w:sz w:val="18"/>
          <w:szCs w:val="18"/>
        </w:rPr>
        <w:t xml:space="preserve">. </w:t>
      </w:r>
      <w:r w:rsidR="00004806">
        <w:rPr>
          <w:rFonts w:ascii="Tw Cen MT" w:eastAsia="Tw Cen MT" w:hAnsi="Tw Cen MT" w:cs="Tw Cen MT"/>
          <w:b w:val="0"/>
          <w:bCs w:val="0"/>
          <w:sz w:val="18"/>
          <w:szCs w:val="18"/>
        </w:rPr>
        <w:t xml:space="preserve">As well as </w:t>
      </w:r>
      <w:r w:rsidR="00725DE7">
        <w:rPr>
          <w:rFonts w:ascii="Tw Cen MT" w:eastAsia="Tw Cen MT" w:hAnsi="Tw Cen MT" w:cs="Tw Cen MT"/>
          <w:b w:val="0"/>
          <w:bCs w:val="0"/>
          <w:sz w:val="18"/>
          <w:szCs w:val="18"/>
        </w:rPr>
        <w:t xml:space="preserve">potentially </w:t>
      </w:r>
      <w:r w:rsidR="00004806">
        <w:rPr>
          <w:rFonts w:ascii="Tw Cen MT" w:eastAsia="Tw Cen MT" w:hAnsi="Tw Cen MT" w:cs="Tw Cen MT"/>
          <w:b w:val="0"/>
          <w:bCs w:val="0"/>
          <w:sz w:val="18"/>
          <w:szCs w:val="18"/>
        </w:rPr>
        <w:t>r</w:t>
      </w:r>
      <w:r w:rsidRPr="00AE13C6">
        <w:rPr>
          <w:rFonts w:ascii="Tw Cen MT" w:eastAsia="Tw Cen MT" w:hAnsi="Tw Cen MT" w:cs="Tw Cen MT"/>
          <w:b w:val="0"/>
          <w:bCs w:val="0"/>
          <w:sz w:val="18"/>
          <w:szCs w:val="18"/>
        </w:rPr>
        <w:t>educ</w:t>
      </w:r>
      <w:r w:rsidR="00725DE7">
        <w:rPr>
          <w:rFonts w:ascii="Tw Cen MT" w:eastAsia="Tw Cen MT" w:hAnsi="Tw Cen MT" w:cs="Tw Cen MT"/>
          <w:b w:val="0"/>
          <w:bCs w:val="0"/>
          <w:sz w:val="18"/>
          <w:szCs w:val="18"/>
        </w:rPr>
        <w:t>e</w:t>
      </w:r>
      <w:r w:rsidRPr="00AE13C6">
        <w:rPr>
          <w:rFonts w:ascii="Tw Cen MT" w:eastAsia="Tw Cen MT" w:hAnsi="Tw Cen MT" w:cs="Tw Cen MT"/>
          <w:b w:val="0"/>
          <w:bCs w:val="0"/>
          <w:sz w:val="18"/>
          <w:szCs w:val="18"/>
        </w:rPr>
        <w:t xml:space="preserve"> </w:t>
      </w:r>
      <w:r w:rsidR="00725DE7" w:rsidRPr="00AE13C6">
        <w:rPr>
          <w:rFonts w:ascii="Tw Cen MT" w:eastAsia="Tw Cen MT" w:hAnsi="Tw Cen MT" w:cs="Tw Cen MT"/>
          <w:b w:val="0"/>
          <w:bCs w:val="0"/>
          <w:sz w:val="18"/>
          <w:szCs w:val="18"/>
        </w:rPr>
        <w:t>footprin</w:t>
      </w:r>
      <w:r w:rsidR="00725DE7">
        <w:rPr>
          <w:rFonts w:ascii="Tw Cen MT" w:eastAsia="Tw Cen MT" w:hAnsi="Tw Cen MT" w:cs="Tw Cen MT"/>
          <w:b w:val="0"/>
          <w:bCs w:val="0"/>
          <w:sz w:val="18"/>
          <w:szCs w:val="18"/>
        </w:rPr>
        <w:t xml:space="preserve">t of conventional </w:t>
      </w:r>
      <w:r w:rsidRPr="00AE13C6">
        <w:rPr>
          <w:rFonts w:ascii="Tw Cen MT" w:eastAsia="Tw Cen MT" w:hAnsi="Tw Cen MT" w:cs="Tw Cen MT"/>
          <w:b w:val="0"/>
          <w:bCs w:val="0"/>
          <w:sz w:val="18"/>
          <w:szCs w:val="18"/>
        </w:rPr>
        <w:t xml:space="preserve">MWW treatment plant and </w:t>
      </w:r>
      <w:r w:rsidR="0013631C">
        <w:rPr>
          <w:rFonts w:ascii="Tw Cen MT" w:eastAsia="Tw Cen MT" w:hAnsi="Tw Cen MT" w:cs="Tw Cen MT"/>
          <w:b w:val="0"/>
          <w:bCs w:val="0"/>
          <w:sz w:val="18"/>
          <w:szCs w:val="18"/>
        </w:rPr>
        <w:t xml:space="preserve">control environmental </w:t>
      </w:r>
      <w:r w:rsidRPr="00AE13C6">
        <w:rPr>
          <w:rFonts w:ascii="Tw Cen MT" w:eastAsia="Tw Cen MT" w:hAnsi="Tw Cen MT" w:cs="Tw Cen MT"/>
          <w:b w:val="0"/>
          <w:bCs w:val="0"/>
          <w:sz w:val="18"/>
          <w:szCs w:val="18"/>
        </w:rPr>
        <w:t xml:space="preserve">pollution to attain </w:t>
      </w:r>
      <w:r w:rsidR="00004806">
        <w:rPr>
          <w:rFonts w:ascii="Tw Cen MT" w:eastAsia="Tw Cen MT" w:hAnsi="Tw Cen MT" w:cs="Tw Cen MT"/>
          <w:b w:val="0"/>
          <w:bCs w:val="0"/>
          <w:sz w:val="18"/>
          <w:szCs w:val="18"/>
        </w:rPr>
        <w:t xml:space="preserve">environmental </w:t>
      </w:r>
      <w:r w:rsidRPr="00AE13C6">
        <w:rPr>
          <w:rFonts w:ascii="Tw Cen MT" w:eastAsia="Tw Cen MT" w:hAnsi="Tw Cen MT" w:cs="Tw Cen MT"/>
          <w:b w:val="0"/>
          <w:bCs w:val="0"/>
          <w:sz w:val="18"/>
          <w:szCs w:val="18"/>
        </w:rPr>
        <w:t>sustainability</w:t>
      </w:r>
      <w:r w:rsidR="002471D8">
        <w:rPr>
          <w:rFonts w:ascii="Tw Cen MT" w:eastAsia="Tw Cen MT" w:hAnsi="Tw Cen MT" w:cs="Tw Cen MT"/>
          <w:b w:val="0"/>
          <w:bCs w:val="0"/>
          <w:sz w:val="18"/>
          <w:szCs w:val="18"/>
        </w:rPr>
        <w:t>.</w:t>
      </w:r>
    </w:p>
    <w:p w14:paraId="08DD0446" w14:textId="10CDBE9D" w:rsidR="00AE3E37" w:rsidRDefault="00A9710C" w:rsidP="00AE13C6">
      <w:pPr>
        <w:pStyle w:val="Heading3"/>
        <w:spacing w:before="74"/>
        <w:jc w:val="both"/>
      </w:pPr>
      <w:r>
        <w:rPr>
          <w:b w:val="0"/>
        </w:rPr>
        <w:br w:type="column"/>
      </w:r>
      <w:r>
        <w:rPr>
          <w:color w:val="BF5A14"/>
        </w:rPr>
        <w:t>Image</w:t>
      </w:r>
    </w:p>
    <w:p w14:paraId="028E3A91" w14:textId="6F3DFE58" w:rsidR="005973B9" w:rsidRDefault="00A9710C" w:rsidP="0054161D">
      <w:pPr>
        <w:pStyle w:val="BodyText"/>
        <w:spacing w:before="2"/>
        <w:rPr>
          <w:rFonts w:ascii="Arial"/>
          <w:b/>
          <w:sz w:val="20"/>
        </w:rPr>
      </w:pPr>
      <w:r>
        <w:rPr>
          <w:noProof/>
        </w:rPr>
        <w:drawing>
          <wp:anchor distT="0" distB="0" distL="0" distR="0" simplePos="0" relativeHeight="251658240" behindDoc="0" locked="0" layoutInCell="1" allowOverlap="1" wp14:anchorId="77FB3A4C" wp14:editId="31A16288">
            <wp:simplePos x="0" y="0"/>
            <wp:positionH relativeFrom="page">
              <wp:posOffset>3872230</wp:posOffset>
            </wp:positionH>
            <wp:positionV relativeFrom="paragraph">
              <wp:posOffset>151765</wp:posOffset>
            </wp:positionV>
            <wp:extent cx="3235325" cy="1595755"/>
            <wp:effectExtent l="0" t="0" r="3175" b="4445"/>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pic:nvPicPr>
                  <pic:blipFill>
                    <a:blip r:embed="rId8">
                      <a:extLst>
                        <a:ext uri="{28A0092B-C50C-407E-A947-70E740481C1C}">
                          <a14:useLocalDpi xmlns:a14="http://schemas.microsoft.com/office/drawing/2010/main" val="0"/>
                        </a:ext>
                      </a:extLst>
                    </a:blip>
                    <a:stretch>
                      <a:fillRect/>
                    </a:stretch>
                  </pic:blipFill>
                  <pic:spPr>
                    <a:xfrm>
                      <a:off x="0" y="0"/>
                      <a:ext cx="3235325" cy="1595755"/>
                    </a:xfrm>
                    <a:prstGeom prst="rect">
                      <a:avLst/>
                    </a:prstGeom>
                  </pic:spPr>
                </pic:pic>
              </a:graphicData>
            </a:graphic>
            <wp14:sizeRelV relativeFrom="margin">
              <wp14:pctHeight>0</wp14:pctHeight>
            </wp14:sizeRelV>
          </wp:anchor>
        </w:drawing>
      </w:r>
      <w:r w:rsidR="005973B9">
        <w:rPr>
          <w:rFonts w:ascii="Arial"/>
          <w:b/>
          <w:color w:val="BF5A14"/>
          <w:sz w:val="20"/>
        </w:rPr>
        <w:br/>
        <w:t xml:space="preserve">Recent Publications </w:t>
      </w:r>
    </w:p>
    <w:p w14:paraId="6555D46A" w14:textId="77777777" w:rsidR="00821489" w:rsidRPr="00821489" w:rsidRDefault="00821489" w:rsidP="00821489">
      <w:pPr>
        <w:numPr>
          <w:ilvl w:val="0"/>
          <w:numId w:val="1"/>
        </w:numPr>
        <w:tabs>
          <w:tab w:val="left" w:pos="384"/>
        </w:tabs>
        <w:ind w:right="117"/>
        <w:rPr>
          <w:rFonts w:ascii="Calibri" w:eastAsia="Calibri" w:hAnsi="Calibri" w:cs="Calibri"/>
          <w:sz w:val="18"/>
        </w:rPr>
      </w:pPr>
      <w:r w:rsidRPr="00821489">
        <w:rPr>
          <w:rFonts w:ascii="Calibri" w:eastAsia="Calibri" w:hAnsi="Calibri" w:cs="Calibri"/>
          <w:sz w:val="18"/>
        </w:rPr>
        <w:t xml:space="preserve">Chen G (2004) Electrochemical technologies in wastewater treatment. Separation and Purification Technology 38:1:11–41. </w:t>
      </w:r>
    </w:p>
    <w:p w14:paraId="28C2DAB9" w14:textId="77777777" w:rsidR="00821489" w:rsidRPr="00821489" w:rsidRDefault="00821489" w:rsidP="00821489">
      <w:pPr>
        <w:numPr>
          <w:ilvl w:val="0"/>
          <w:numId w:val="1"/>
        </w:numPr>
        <w:tabs>
          <w:tab w:val="left" w:pos="384"/>
        </w:tabs>
        <w:ind w:right="117"/>
        <w:rPr>
          <w:rFonts w:ascii="Calibri" w:eastAsia="Calibri" w:hAnsi="Calibri" w:cs="Calibri"/>
          <w:sz w:val="18"/>
        </w:rPr>
      </w:pPr>
      <w:r w:rsidRPr="00821489">
        <w:rPr>
          <w:rFonts w:ascii="Calibri" w:eastAsia="Calibri" w:hAnsi="Calibri" w:cs="Calibri"/>
          <w:sz w:val="18"/>
        </w:rPr>
        <w:t xml:space="preserve">Devlin TR, Kowalski MS., Pagaduan E, Zhang X, Wei V, Oleszkiewicz JA (2019) Electrocoagulation of wastewater using aluminum, iron, and magnesium electrodes. Journal of Hazardous Materials 368:862–868. </w:t>
      </w:r>
    </w:p>
    <w:p w14:paraId="564DBA7B" w14:textId="77777777" w:rsidR="00821489" w:rsidRPr="00821489" w:rsidRDefault="00821489" w:rsidP="00821489">
      <w:pPr>
        <w:numPr>
          <w:ilvl w:val="0"/>
          <w:numId w:val="1"/>
        </w:numPr>
        <w:tabs>
          <w:tab w:val="left" w:pos="384"/>
        </w:tabs>
        <w:ind w:right="117"/>
        <w:rPr>
          <w:rFonts w:ascii="Calibri" w:eastAsia="Calibri" w:hAnsi="Calibri" w:cs="Calibri"/>
          <w:sz w:val="18"/>
        </w:rPr>
      </w:pPr>
      <w:r w:rsidRPr="00821489">
        <w:rPr>
          <w:rFonts w:ascii="Calibri" w:eastAsia="Calibri" w:hAnsi="Calibri" w:cs="Calibri"/>
          <w:sz w:val="18"/>
        </w:rPr>
        <w:t>Elazzouzi M, Haboubi K, Elyoubi MS (2017) Electrocoagulation flocculation as a low-cost process for pollutants removal from urban wastewater. Chemical Engineering Research and Design 117: 614–626.</w:t>
      </w:r>
    </w:p>
    <w:p w14:paraId="7EF7E143" w14:textId="1DF0874F" w:rsidR="00821489" w:rsidRPr="00821489" w:rsidRDefault="00821489" w:rsidP="00821489">
      <w:pPr>
        <w:numPr>
          <w:ilvl w:val="0"/>
          <w:numId w:val="1"/>
        </w:numPr>
        <w:tabs>
          <w:tab w:val="left" w:pos="384"/>
        </w:tabs>
        <w:ind w:right="117"/>
        <w:rPr>
          <w:rFonts w:ascii="Calibri" w:eastAsia="Calibri" w:hAnsi="Calibri" w:cs="Calibri"/>
          <w:sz w:val="18"/>
        </w:rPr>
      </w:pPr>
      <w:r w:rsidRPr="00821489">
        <w:rPr>
          <w:rFonts w:ascii="Calibri" w:eastAsia="Calibri" w:hAnsi="Calibri" w:cs="Calibri"/>
          <w:sz w:val="18"/>
        </w:rPr>
        <w:t>Parmentier D, Manhaeghe D, Baccini L, van Meirhaeghe R, Rousseau Diederik</w:t>
      </w:r>
      <w:r w:rsidR="004B01AF">
        <w:rPr>
          <w:rFonts w:ascii="Calibri" w:eastAsia="Calibri" w:hAnsi="Calibri" w:cs="Calibri"/>
          <w:sz w:val="18"/>
        </w:rPr>
        <w:t xml:space="preserve"> </w:t>
      </w:r>
      <w:r w:rsidRPr="00821489">
        <w:rPr>
          <w:rFonts w:ascii="Calibri" w:eastAsia="Calibri" w:hAnsi="Calibri" w:cs="Calibri"/>
          <w:sz w:val="18"/>
        </w:rPr>
        <w:t>PL, van Hulle Stijn</w:t>
      </w:r>
      <w:r w:rsidR="004B01AF">
        <w:rPr>
          <w:rFonts w:ascii="Calibri" w:eastAsia="Calibri" w:hAnsi="Calibri" w:cs="Calibri"/>
          <w:sz w:val="18"/>
        </w:rPr>
        <w:t xml:space="preserve"> </w:t>
      </w:r>
      <w:r w:rsidRPr="00821489">
        <w:rPr>
          <w:rFonts w:ascii="Calibri" w:eastAsia="Calibri" w:hAnsi="Calibri" w:cs="Calibri"/>
          <w:sz w:val="18"/>
        </w:rPr>
        <w:t>WH (2020) A new reactor design for harvesting algae through electrocoagulation-flotation in a continuous mode. Algal Research 47:101828:1-7.</w:t>
      </w:r>
    </w:p>
    <w:p w14:paraId="0689CCB7" w14:textId="41972068" w:rsidR="00821489" w:rsidRPr="00821489" w:rsidRDefault="00821489" w:rsidP="00821489">
      <w:pPr>
        <w:numPr>
          <w:ilvl w:val="0"/>
          <w:numId w:val="1"/>
        </w:numPr>
        <w:tabs>
          <w:tab w:val="left" w:pos="384"/>
        </w:tabs>
        <w:ind w:right="117"/>
        <w:rPr>
          <w:rFonts w:ascii="Calibri" w:eastAsia="Calibri" w:hAnsi="Calibri" w:cs="Calibri"/>
          <w:sz w:val="18"/>
        </w:rPr>
        <w:sectPr w:rsidR="00821489" w:rsidRPr="00821489" w:rsidSect="008E5477">
          <w:type w:val="continuous"/>
          <w:pgSz w:w="11910" w:h="16840"/>
          <w:pgMar w:top="995" w:right="600" w:bottom="840" w:left="620" w:header="720" w:footer="720" w:gutter="0"/>
          <w:cols w:num="2" w:space="720" w:equalWidth="0">
            <w:col w:w="5214" w:space="138"/>
            <w:col w:w="5338"/>
          </w:cols>
        </w:sectPr>
      </w:pPr>
      <w:r w:rsidRPr="00821489">
        <w:rPr>
          <w:rFonts w:ascii="Calibri" w:eastAsia="Calibri" w:hAnsi="Calibri" w:cs="Calibri"/>
          <w:sz w:val="18"/>
        </w:rPr>
        <w:t>Lakho</w:t>
      </w:r>
      <w:r w:rsidR="004B01AF">
        <w:rPr>
          <w:rFonts w:ascii="Calibri" w:eastAsia="Calibri" w:hAnsi="Calibri" w:cs="Calibri"/>
          <w:sz w:val="18"/>
        </w:rPr>
        <w:t xml:space="preserve"> </w:t>
      </w:r>
      <w:r w:rsidRPr="00821489">
        <w:rPr>
          <w:rFonts w:ascii="Calibri" w:eastAsia="Calibri" w:hAnsi="Calibri" w:cs="Calibri"/>
          <w:sz w:val="18"/>
        </w:rPr>
        <w:t>FH, Le</w:t>
      </w:r>
      <w:r w:rsidR="004B01AF">
        <w:rPr>
          <w:rFonts w:ascii="Calibri" w:eastAsia="Calibri" w:hAnsi="Calibri" w:cs="Calibri"/>
          <w:sz w:val="18"/>
        </w:rPr>
        <w:t xml:space="preserve"> </w:t>
      </w:r>
      <w:r w:rsidRPr="00821489">
        <w:rPr>
          <w:rFonts w:ascii="Calibri" w:eastAsia="Calibri" w:hAnsi="Calibri" w:cs="Calibri"/>
          <w:sz w:val="18"/>
        </w:rPr>
        <w:t>HQ, van Kerkhove</w:t>
      </w:r>
      <w:r w:rsidR="004B01AF">
        <w:rPr>
          <w:rFonts w:ascii="Calibri" w:eastAsia="Calibri" w:hAnsi="Calibri" w:cs="Calibri"/>
          <w:sz w:val="18"/>
        </w:rPr>
        <w:t xml:space="preserve"> </w:t>
      </w:r>
      <w:r w:rsidRPr="00821489">
        <w:rPr>
          <w:rFonts w:ascii="Calibri" w:eastAsia="Calibri" w:hAnsi="Calibri" w:cs="Calibri"/>
          <w:sz w:val="18"/>
        </w:rPr>
        <w:t>F, Igodt</w:t>
      </w:r>
      <w:r w:rsidR="004B01AF">
        <w:rPr>
          <w:rFonts w:ascii="Calibri" w:eastAsia="Calibri" w:hAnsi="Calibri" w:cs="Calibri"/>
          <w:sz w:val="18"/>
        </w:rPr>
        <w:t xml:space="preserve"> </w:t>
      </w:r>
      <w:r w:rsidRPr="00821489">
        <w:rPr>
          <w:rFonts w:ascii="Calibri" w:eastAsia="Calibri" w:hAnsi="Calibri" w:cs="Calibri"/>
          <w:sz w:val="18"/>
        </w:rPr>
        <w:t>W, Depuydt</w:t>
      </w:r>
      <w:r w:rsidR="004B01AF">
        <w:rPr>
          <w:rFonts w:ascii="Calibri" w:eastAsia="Calibri" w:hAnsi="Calibri" w:cs="Calibri"/>
          <w:sz w:val="18"/>
        </w:rPr>
        <w:t xml:space="preserve"> </w:t>
      </w:r>
      <w:r w:rsidRPr="00821489">
        <w:rPr>
          <w:rFonts w:ascii="Calibri" w:eastAsia="Calibri" w:hAnsi="Calibri" w:cs="Calibri"/>
          <w:sz w:val="18"/>
        </w:rPr>
        <w:t xml:space="preserve">V, DeslooverJ, Rousseau </w:t>
      </w:r>
      <w:bookmarkStart w:id="3" w:name="_Hlk118891242"/>
      <w:r w:rsidRPr="00821489">
        <w:rPr>
          <w:rFonts w:ascii="Calibri" w:eastAsia="Calibri" w:hAnsi="Calibri" w:cs="Calibri"/>
          <w:sz w:val="18"/>
        </w:rPr>
        <w:t>Diederik</w:t>
      </w:r>
      <w:bookmarkEnd w:id="3"/>
      <w:r w:rsidR="004B01AF">
        <w:rPr>
          <w:rFonts w:ascii="Calibri" w:eastAsia="Calibri" w:hAnsi="Calibri" w:cs="Calibri"/>
          <w:sz w:val="18"/>
        </w:rPr>
        <w:t xml:space="preserve"> </w:t>
      </w:r>
      <w:r w:rsidRPr="00821489">
        <w:rPr>
          <w:rFonts w:ascii="Calibri" w:eastAsia="Calibri" w:hAnsi="Calibri" w:cs="Calibri"/>
          <w:sz w:val="18"/>
        </w:rPr>
        <w:t>PL, van Hulle Stijn</w:t>
      </w:r>
      <w:r w:rsidR="004B01AF">
        <w:rPr>
          <w:rFonts w:ascii="Calibri" w:eastAsia="Calibri" w:hAnsi="Calibri" w:cs="Calibri"/>
          <w:sz w:val="18"/>
        </w:rPr>
        <w:t xml:space="preserve"> </w:t>
      </w:r>
      <w:r w:rsidRPr="00821489">
        <w:rPr>
          <w:rFonts w:ascii="Calibri" w:eastAsia="Calibri" w:hAnsi="Calibri" w:cs="Calibri"/>
          <w:sz w:val="18"/>
        </w:rPr>
        <w:t xml:space="preserve">WH (2020) Water treatment and re-use at temporary events using a mobile constructed wetland and drinking water production system. </w:t>
      </w:r>
      <w:r w:rsidRPr="00821489">
        <w:rPr>
          <w:rFonts w:ascii="Calibri" w:eastAsia="Calibri" w:hAnsi="Calibri" w:cs="Calibri"/>
          <w:i/>
          <w:iCs/>
          <w:sz w:val="18"/>
        </w:rPr>
        <w:t>Science of the Total Environment</w:t>
      </w:r>
      <w:r w:rsidRPr="00821489">
        <w:rPr>
          <w:rFonts w:ascii="Calibri" w:eastAsia="Calibri" w:hAnsi="Calibri" w:cs="Calibri"/>
          <w:sz w:val="18"/>
        </w:rPr>
        <w:t xml:space="preserve"> 737:139630:1-9.</w:t>
      </w:r>
    </w:p>
    <w:p w14:paraId="21E8528E" w14:textId="77777777" w:rsidR="00AE3E37" w:rsidRPr="008756E6" w:rsidRDefault="00AE3E37" w:rsidP="008756E6">
      <w:pPr>
        <w:tabs>
          <w:tab w:val="left" w:pos="384"/>
        </w:tabs>
        <w:ind w:right="117"/>
      </w:pPr>
    </w:p>
    <w:p w14:paraId="68B3E2CE"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810F524" w14:textId="77777777" w:rsidR="00AE3E37" w:rsidRDefault="00AE3E37">
      <w:pPr>
        <w:pStyle w:val="BodyText"/>
        <w:rPr>
          <w:rFonts w:ascii="Calibri"/>
          <w:sz w:val="20"/>
        </w:rPr>
      </w:pPr>
    </w:p>
    <w:p w14:paraId="1D994D08"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733CE13" wp14:editId="6975519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D5E0E0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D2CF56A" w14:textId="5702685D" w:rsidR="00AE3E37" w:rsidRDefault="00A5207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4C811E1" wp14:editId="4ED1EFAB">
                <wp:simplePos x="0" y="0"/>
                <wp:positionH relativeFrom="column">
                  <wp:posOffset>5659006</wp:posOffset>
                </wp:positionH>
                <wp:positionV relativeFrom="paragraph">
                  <wp:posOffset>56804</wp:posOffset>
                </wp:positionV>
                <wp:extent cx="895350" cy="626571"/>
                <wp:effectExtent l="19050" t="19050" r="19050" b="2159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0" cy="626571"/>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0EB2515" w14:textId="7528D79B" w:rsidR="00A52075" w:rsidRDefault="00B37826" w:rsidP="00A52075">
                            <w:pPr>
                              <w:rPr>
                                <w:b/>
                                <w:color w:val="0000FF"/>
                                <w:lang w:val="en-IN"/>
                              </w:rPr>
                            </w:pPr>
                            <w:r>
                              <w:rPr>
                                <w:noProof/>
                              </w:rPr>
                              <w:drawing>
                                <wp:inline distT="0" distB="0" distL="0" distR="0" wp14:anchorId="5BA7E9FB" wp14:editId="5E1A9763">
                                  <wp:extent cx="345646" cy="235527"/>
                                  <wp:effectExtent l="0" t="0" r="0" b="0"/>
                                  <wp:docPr id="3114" name="Picture 2" descr="Logo, company name&#10;&#10;Description automatically generated">
                                    <a:extLst xmlns:a="http://schemas.openxmlformats.org/drawingml/2006/main">
                                      <a:ext uri="{FF2B5EF4-FFF2-40B4-BE49-F238E27FC236}">
                                        <a16:creationId xmlns:a16="http://schemas.microsoft.com/office/drawing/2014/main" id="{8F00EAC5-F957-28D1-4329-D86E3C7AD9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 name="Picture 2" descr="Logo, company name&#10;&#10;Description automatically generated">
                                            <a:extLst>
                                              <a:ext uri="{FF2B5EF4-FFF2-40B4-BE49-F238E27FC236}">
                                                <a16:creationId xmlns:a16="http://schemas.microsoft.com/office/drawing/2014/main" id="{8F00EAC5-F957-28D1-4329-D86E3C7AD973}"/>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t="12100" b="14227"/>
                                          <a:stretch>
                                            <a:fillRect/>
                                          </a:stretch>
                                        </pic:blipFill>
                                        <pic:spPr bwMode="auto">
                                          <a:xfrm>
                                            <a:off x="0" y="0"/>
                                            <a:ext cx="376386" cy="256473"/>
                                          </a:xfrm>
                                          <a:prstGeom prst="rect">
                                            <a:avLst/>
                                          </a:prstGeom>
                                          <a:noFill/>
                                          <a:ln>
                                            <a:noFill/>
                                          </a:ln>
                                        </pic:spPr>
                                      </pic:pic>
                                    </a:graphicData>
                                  </a:graphic>
                                </wp:inline>
                              </w:drawing>
                            </w:r>
                            <w:r>
                              <w:rPr>
                                <w:noProof/>
                              </w:rPr>
                              <w:drawing>
                                <wp:inline distT="0" distB="0" distL="0" distR="0" wp14:anchorId="533E182C" wp14:editId="10323B36">
                                  <wp:extent cx="235528" cy="235528"/>
                                  <wp:effectExtent l="0" t="0" r="0" b="0"/>
                                  <wp:docPr id="25" name="Picture 169" descr="Khulna University Campus - Photos | Facebook">
                                    <a:extLst xmlns:a="http://schemas.openxmlformats.org/drawingml/2006/main">
                                      <a:ext uri="{FF2B5EF4-FFF2-40B4-BE49-F238E27FC236}">
                                        <a16:creationId xmlns:a16="http://schemas.microsoft.com/office/drawing/2014/main" id="{51F43005-0519-ABE8-B854-F424FF15B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Picture 169" descr="Khulna University Campus - Photos | Facebook">
                                            <a:extLst>
                                              <a:ext uri="{FF2B5EF4-FFF2-40B4-BE49-F238E27FC236}">
                                                <a16:creationId xmlns:a16="http://schemas.microsoft.com/office/drawing/2014/main" id="{51F43005-0519-ABE8-B854-F424FF15B0DA}"/>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858" cy="246858"/>
                                          </a:xfrm>
                                          <a:prstGeom prst="rect">
                                            <a:avLst/>
                                          </a:prstGeom>
                                          <a:noFill/>
                                          <a:ln>
                                            <a:noFill/>
                                          </a:ln>
                                        </pic:spPr>
                                      </pic:pic>
                                    </a:graphicData>
                                  </a:graphic>
                                </wp:inline>
                              </w:drawing>
                            </w:r>
                            <w:r>
                              <w:rPr>
                                <w:noProof/>
                              </w:rPr>
                              <w:drawing>
                                <wp:inline distT="0" distB="0" distL="0" distR="0" wp14:anchorId="4C9CAD18" wp14:editId="762FE2F9">
                                  <wp:extent cx="289978" cy="117764"/>
                                  <wp:effectExtent l="0" t="0" r="0" b="0"/>
                                  <wp:docPr id="3115" name="Tijdelijke aanduiding voor afbeelding 11" descr="Logo, company name&#10;&#10;Description automatically generated">
                                    <a:extLst xmlns:a="http://schemas.openxmlformats.org/drawingml/2006/main">
                                      <a:ext uri="{FF2B5EF4-FFF2-40B4-BE49-F238E27FC236}">
                                        <a16:creationId xmlns:a16="http://schemas.microsoft.com/office/drawing/2014/main" id="{32F670DB-98A3-1E51-A1B6-EBFEE01240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 name="Tijdelijke aanduiding voor afbeelding 11" descr="Logo, company name&#10;&#10;Description automatically generated">
                                            <a:extLst>
                                              <a:ext uri="{FF2B5EF4-FFF2-40B4-BE49-F238E27FC236}">
                                                <a16:creationId xmlns:a16="http://schemas.microsoft.com/office/drawing/2014/main" id="{32F670DB-98A3-1E51-A1B6-EBFEE01240EB}"/>
                                              </a:ext>
                                            </a:extLst>
                                          </pic:cNvPr>
                                          <pic:cNvPicPr>
                                            <a:picLocks noChangeAspect="1"/>
                                          </pic:cNvPicPr>
                                        </pic:nvPicPr>
                                        <pic:blipFill>
                                          <a:blip r:embed="rId11" cstate="print">
                                            <a:extLst>
                                              <a:ext uri="{28A0092B-C50C-407E-A947-70E740481C1C}">
                                                <a14:useLocalDpi xmlns:a14="http://schemas.microsoft.com/office/drawing/2010/main" val="0"/>
                                              </a:ext>
                                            </a:extLst>
                                          </a:blip>
                                          <a:srcRect t="29688" b="29688"/>
                                          <a:stretch>
                                            <a:fillRect/>
                                          </a:stretch>
                                        </pic:blipFill>
                                        <pic:spPr bwMode="auto">
                                          <a:xfrm>
                                            <a:off x="0" y="0"/>
                                            <a:ext cx="299193" cy="121506"/>
                                          </a:xfrm>
                                          <a:prstGeom prst="rect">
                                            <a:avLst/>
                                          </a:prstGeom>
                                          <a:noFill/>
                                          <a:ln>
                                            <a:noFill/>
                                          </a:ln>
                                        </pic:spPr>
                                      </pic:pic>
                                    </a:graphicData>
                                  </a:graphic>
                                </wp:inline>
                              </w:drawing>
                            </w:r>
                            <w:r>
                              <w:rPr>
                                <w:noProof/>
                              </w:rPr>
                              <w:t xml:space="preserve"> </w:t>
                            </w:r>
                            <w:r>
                              <w:rPr>
                                <w:noProof/>
                              </w:rPr>
                              <w:drawing>
                                <wp:inline distT="0" distB="0" distL="0" distR="0" wp14:anchorId="68E0A9BF" wp14:editId="2D23D53B">
                                  <wp:extent cx="248804" cy="168975"/>
                                  <wp:effectExtent l="0" t="0" r="0" b="2540"/>
                                  <wp:docPr id="3" name="Picture 3" descr="Logo of Bangladesh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Bangladesh Govern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607" cy="179708"/>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C811E1" id="Rounded Rectangle 2" o:spid="_x0000_s1026" style="position:absolute;margin-left:445.6pt;margin-top:4.45pt;width:70.5pt;height:4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" strokecolor="#9bbb59" strokeweight="2.5pt">
                <v:shadow color="#868686"/>
                <v:textbox>
                  <w:txbxContent>
                    <w:p w14:paraId="60EB2515" w14:textId="7528D79B" w:rsidR="00A52075" w:rsidRDefault="00B37826" w:rsidP="00A52075">
                      <w:pPr>
                        <w:rPr>
                          <w:b/>
                          <w:color w:val="0000FF"/>
                          <w:lang w:val="en-IN"/>
                        </w:rPr>
                      </w:pPr>
                      <w:r>
                        <w:rPr>
                          <w:noProof/>
                        </w:rPr>
                        <w:drawing>
                          <wp:inline distT="0" distB="0" distL="0" distR="0" wp14:anchorId="5BA7E9FB" wp14:editId="5E1A9763">
                            <wp:extent cx="345646" cy="235527"/>
                            <wp:effectExtent l="0" t="0" r="0" b="0"/>
                            <wp:docPr id="3114" name="Picture 2" descr="Logo, company name&#10;&#10;Description automatically generated">
                              <a:extLst xmlns:a="http://schemas.openxmlformats.org/drawingml/2006/main">
                                <a:ext uri="{FF2B5EF4-FFF2-40B4-BE49-F238E27FC236}">
                                  <a16:creationId xmlns:a16="http://schemas.microsoft.com/office/drawing/2014/main" id="{8F00EAC5-F957-28D1-4329-D86E3C7AD9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4" name="Picture 2" descr="Logo, company name&#10;&#10;Description automatically generated">
                                      <a:extLst>
                                        <a:ext uri="{FF2B5EF4-FFF2-40B4-BE49-F238E27FC236}">
                                          <a16:creationId xmlns:a16="http://schemas.microsoft.com/office/drawing/2014/main" id="{8F00EAC5-F957-28D1-4329-D86E3C7AD973}"/>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t="12100" b="14227"/>
                                    <a:stretch>
                                      <a:fillRect/>
                                    </a:stretch>
                                  </pic:blipFill>
                                  <pic:spPr bwMode="auto">
                                    <a:xfrm>
                                      <a:off x="0" y="0"/>
                                      <a:ext cx="376386" cy="256473"/>
                                    </a:xfrm>
                                    <a:prstGeom prst="rect">
                                      <a:avLst/>
                                    </a:prstGeom>
                                    <a:noFill/>
                                    <a:ln>
                                      <a:noFill/>
                                    </a:ln>
                                  </pic:spPr>
                                </pic:pic>
                              </a:graphicData>
                            </a:graphic>
                          </wp:inline>
                        </w:drawing>
                      </w:r>
                      <w:r>
                        <w:rPr>
                          <w:noProof/>
                        </w:rPr>
                        <w:drawing>
                          <wp:inline distT="0" distB="0" distL="0" distR="0" wp14:anchorId="533E182C" wp14:editId="10323B36">
                            <wp:extent cx="235528" cy="235528"/>
                            <wp:effectExtent l="0" t="0" r="0" b="0"/>
                            <wp:docPr id="25" name="Picture 169" descr="Khulna University Campus - Photos | Facebook">
                              <a:extLst xmlns:a="http://schemas.openxmlformats.org/drawingml/2006/main">
                                <a:ext uri="{FF2B5EF4-FFF2-40B4-BE49-F238E27FC236}">
                                  <a16:creationId xmlns:a16="http://schemas.microsoft.com/office/drawing/2014/main" id="{51F43005-0519-ABE8-B854-F424FF15B0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5" name="Picture 169" descr="Khulna University Campus - Photos | Facebook">
                                      <a:extLst>
                                        <a:ext uri="{FF2B5EF4-FFF2-40B4-BE49-F238E27FC236}">
                                          <a16:creationId xmlns:a16="http://schemas.microsoft.com/office/drawing/2014/main" id="{51F43005-0519-ABE8-B854-F424FF15B0DA}"/>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858" cy="246858"/>
                                    </a:xfrm>
                                    <a:prstGeom prst="rect">
                                      <a:avLst/>
                                    </a:prstGeom>
                                    <a:noFill/>
                                    <a:ln>
                                      <a:noFill/>
                                    </a:ln>
                                  </pic:spPr>
                                </pic:pic>
                              </a:graphicData>
                            </a:graphic>
                          </wp:inline>
                        </w:drawing>
                      </w:r>
                      <w:r>
                        <w:rPr>
                          <w:noProof/>
                        </w:rPr>
                        <w:drawing>
                          <wp:inline distT="0" distB="0" distL="0" distR="0" wp14:anchorId="4C9CAD18" wp14:editId="762FE2F9">
                            <wp:extent cx="289978" cy="117764"/>
                            <wp:effectExtent l="0" t="0" r="0" b="0"/>
                            <wp:docPr id="3115" name="Tijdelijke aanduiding voor afbeelding 11" descr="Logo, company name&#10;&#10;Description automatically generated">
                              <a:extLst xmlns:a="http://schemas.openxmlformats.org/drawingml/2006/main">
                                <a:ext uri="{FF2B5EF4-FFF2-40B4-BE49-F238E27FC236}">
                                  <a16:creationId xmlns:a16="http://schemas.microsoft.com/office/drawing/2014/main" id="{32F670DB-98A3-1E51-A1B6-EBFEE01240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5" name="Tijdelijke aanduiding voor afbeelding 11" descr="Logo, company name&#10;&#10;Description automatically generated">
                                      <a:extLst>
                                        <a:ext uri="{FF2B5EF4-FFF2-40B4-BE49-F238E27FC236}">
                                          <a16:creationId xmlns:a16="http://schemas.microsoft.com/office/drawing/2014/main" id="{32F670DB-98A3-1E51-A1B6-EBFEE01240EB}"/>
                                        </a:ext>
                                      </a:extLst>
                                    </pic:cNvPr>
                                    <pic:cNvPicPr>
                                      <a:picLocks noChangeAspect="1"/>
                                    </pic:cNvPicPr>
                                  </pic:nvPicPr>
                                  <pic:blipFill>
                                    <a:blip r:embed="rId11" cstate="print">
                                      <a:extLst>
                                        <a:ext uri="{28A0092B-C50C-407E-A947-70E740481C1C}">
                                          <a14:useLocalDpi xmlns:a14="http://schemas.microsoft.com/office/drawing/2010/main" val="0"/>
                                        </a:ext>
                                      </a:extLst>
                                    </a:blip>
                                    <a:srcRect t="29688" b="29688"/>
                                    <a:stretch>
                                      <a:fillRect/>
                                    </a:stretch>
                                  </pic:blipFill>
                                  <pic:spPr bwMode="auto">
                                    <a:xfrm>
                                      <a:off x="0" y="0"/>
                                      <a:ext cx="299193" cy="121506"/>
                                    </a:xfrm>
                                    <a:prstGeom prst="rect">
                                      <a:avLst/>
                                    </a:prstGeom>
                                    <a:noFill/>
                                    <a:ln>
                                      <a:noFill/>
                                    </a:ln>
                                  </pic:spPr>
                                </pic:pic>
                              </a:graphicData>
                            </a:graphic>
                          </wp:inline>
                        </w:drawing>
                      </w:r>
                      <w:r>
                        <w:rPr>
                          <w:noProof/>
                        </w:rPr>
                        <w:t xml:space="preserve"> </w:t>
                      </w:r>
                      <w:r>
                        <w:rPr>
                          <w:noProof/>
                        </w:rPr>
                        <w:drawing>
                          <wp:inline distT="0" distB="0" distL="0" distR="0" wp14:anchorId="68E0A9BF" wp14:editId="2D23D53B">
                            <wp:extent cx="248804" cy="168975"/>
                            <wp:effectExtent l="0" t="0" r="0" b="2540"/>
                            <wp:docPr id="3" name="Picture 3" descr="Logo of Bangladesh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Bangladesh Govern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4607" cy="179708"/>
                                    </a:xfrm>
                                    <a:prstGeom prst="rect">
                                      <a:avLst/>
                                    </a:prstGeom>
                                    <a:noFill/>
                                    <a:ln>
                                      <a:noFill/>
                                    </a:ln>
                                  </pic:spPr>
                                </pic:pic>
                              </a:graphicData>
                            </a:graphic>
                          </wp:inline>
                        </w:drawing>
                      </w:r>
                    </w:p>
                  </w:txbxContent>
                </v:textbox>
              </v:roundrect>
            </w:pict>
          </mc:Fallback>
        </mc:AlternateContent>
      </w:r>
      <w:r w:rsidR="008756E6">
        <w:rPr>
          <w:noProof/>
        </w:rPr>
        <w:t xml:space="preserve">              </w:t>
      </w:r>
      <w:r w:rsidR="008756E6">
        <w:rPr>
          <w:noProof/>
        </w:rPr>
        <w:drawing>
          <wp:inline distT="0" distB="0" distL="0" distR="0" wp14:anchorId="5980C213" wp14:editId="7E084C47">
            <wp:extent cx="625069" cy="625069"/>
            <wp:effectExtent l="0" t="0" r="381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C6500F9" w14:textId="77777777" w:rsidR="00B37826" w:rsidRPr="00B37826" w:rsidRDefault="00B37826" w:rsidP="00B37826">
      <w:pPr>
        <w:spacing w:before="41" w:line="154" w:lineRule="exact"/>
        <w:ind w:left="213" w:right="231"/>
        <w:jc w:val="both"/>
        <w:rPr>
          <w:rFonts w:ascii="Arial"/>
          <w:sz w:val="14"/>
        </w:rPr>
      </w:pPr>
      <w:r w:rsidRPr="00B37826">
        <w:rPr>
          <w:rFonts w:ascii="Arial"/>
          <w:sz w:val="14"/>
        </w:rPr>
        <w:t>Nazia Hassan has her expertise in wastewater treatment and water quality management to protect environmental pollution as well as public health. Her PhD work on zero chemical electrocoagulation-flotation (ECF) system used to treat municipal wastewater (MWW) of Kortrijk, Belgium, and Khulna, Bangladesh, funded by Prime Minister Fellowship Fund of Bangladesh Government. Demonstrated efficient removal of tCOD,TP, turbidity, heavy metals, and pathogens. Optimized Fe ECF unit excelled for low-cost and energy-efficient operation with environmental suitability. As a current PhD student of LIWET group under Department of Green Chemistry and Technology under Ghent University, Belgium, and a faculty member of Environmental Science Discipline, Khulna University, Bangladesh (since 2008), she has experiences in research, teaching, guiding thesis students and administration. ECF  technology for MWW pre treatment facility creates an enormous opportunities in both developing and developed countries for sustainable developments. As well as  bridging knowledge and technology transfer  from developed to developing countries</w:t>
      </w:r>
    </w:p>
    <w:p w14:paraId="6B7B7009" w14:textId="71663161" w:rsidR="00B37826" w:rsidRPr="00B37826" w:rsidRDefault="00B37826" w:rsidP="009E4F38">
      <w:pPr>
        <w:spacing w:before="41" w:line="154" w:lineRule="exact"/>
        <w:ind w:left="213" w:right="231"/>
        <w:jc w:val="center"/>
        <w:rPr>
          <w:rFonts w:ascii="Arial"/>
          <w:sz w:val="14"/>
          <w:u w:val="single"/>
        </w:rPr>
      </w:pPr>
      <w:r w:rsidRPr="00B37826">
        <w:rPr>
          <w:rFonts w:ascii="Arial"/>
          <w:sz w:val="14"/>
        </w:rPr>
        <w:t xml:space="preserve">Email: </w:t>
      </w:r>
      <w:hyperlink r:id="rId14" w:history="1">
        <w:r w:rsidRPr="00B37826">
          <w:rPr>
            <w:rStyle w:val="Hyperlink"/>
            <w:rFonts w:ascii="Arial"/>
            <w:sz w:val="14"/>
          </w:rPr>
          <w:t>nazia.hassan@ugent.com</w:t>
        </w:r>
      </w:hyperlink>
      <w:r w:rsidRPr="00B37826">
        <w:rPr>
          <w:rFonts w:ascii="Arial"/>
          <w:sz w:val="14"/>
        </w:rPr>
        <w:t xml:space="preserve"> &amp;</w:t>
      </w:r>
      <w:r w:rsidRPr="00B37826">
        <w:rPr>
          <w:rFonts w:ascii="Arial"/>
          <w:sz w:val="14"/>
          <w:u w:val="single"/>
        </w:rPr>
        <w:t>nazia02ku@es.ku.ac.bd</w:t>
      </w:r>
    </w:p>
    <w:p w14:paraId="60CF9E40" w14:textId="74E626A2" w:rsidR="00AE3E37" w:rsidRDefault="00A9710C">
      <w:pPr>
        <w:spacing w:before="41" w:line="154" w:lineRule="exact"/>
        <w:ind w:left="213" w:right="231"/>
        <w:jc w:val="both"/>
        <w:rPr>
          <w:rFonts w:ascii="Arial"/>
          <w:sz w:val="14"/>
        </w:rPr>
      </w:pPr>
      <w:r>
        <w:rPr>
          <w:rFonts w:ascii="Arial"/>
          <w:sz w:val="14"/>
        </w:rPr>
        <w:t>.</w:t>
      </w:r>
    </w:p>
    <w:p w14:paraId="7A760618" w14:textId="5EF27A00" w:rsidR="00AE3E37" w:rsidRPr="00B37826" w:rsidRDefault="00292ED9" w:rsidP="00B37826">
      <w:pPr>
        <w:pStyle w:val="BodyText"/>
        <w:spacing w:before="2"/>
        <w:rPr>
          <w:rFonts w:ascii="Arial"/>
          <w:sz w:val="20"/>
        </w:rPr>
      </w:pPr>
      <w:r>
        <w:rPr>
          <w:noProof/>
        </w:rPr>
        <mc:AlternateContent>
          <mc:Choice Requires="wps">
            <w:drawing>
              <wp:anchor distT="0" distB="0" distL="0" distR="0" simplePos="0" relativeHeight="1072" behindDoc="0" locked="0" layoutInCell="1" allowOverlap="1" wp14:anchorId="58BAB9C3" wp14:editId="0E755120">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E7C9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8CC29E6" w14:textId="211C09F6" w:rsidR="00EA7D51" w:rsidRDefault="00A9710C" w:rsidP="00A42E3E">
      <w:pPr>
        <w:spacing w:before="39"/>
        <w:ind w:left="100"/>
        <w:rPr>
          <w:rFonts w:ascii="Minion Pro"/>
          <w:b/>
          <w:sz w:val="20"/>
        </w:rPr>
      </w:pPr>
      <w:r w:rsidRPr="00B21A57">
        <w:rPr>
          <w:rFonts w:ascii="Minion Pro"/>
          <w:b/>
          <w:sz w:val="20"/>
        </w:rPr>
        <w:t>Notes/Comments:</w:t>
      </w:r>
    </w:p>
    <w:p w14:paraId="3B70228A" w14:textId="728209EE" w:rsidR="00EA7D51" w:rsidRDefault="00B37826" w:rsidP="00A42E3E">
      <w:pPr>
        <w:ind w:left="100"/>
        <w:rPr>
          <w:rFonts w:ascii="Minion Pro"/>
          <w:b/>
          <w:sz w:val="20"/>
        </w:rPr>
      </w:pPr>
      <w:bookmarkStart w:id="4" w:name="_Hlk118892092"/>
      <w:r>
        <w:rPr>
          <w:rFonts w:ascii="Minion Pro"/>
          <w:b/>
          <w:sz w:val="20"/>
        </w:rPr>
        <w:t>This project is funded by the Prime Minister Fellowship Fund, Bangladesh Government.</w:t>
      </w:r>
      <w:bookmarkEnd w:id="4"/>
    </w:p>
    <w:p w14:paraId="41D47E85" w14:textId="77777777" w:rsidR="00A42E3E" w:rsidRDefault="00A42E3E" w:rsidP="00EA7D51">
      <w:pPr>
        <w:autoSpaceDE w:val="0"/>
        <w:autoSpaceDN w:val="0"/>
        <w:adjustRightInd w:val="0"/>
        <w:rPr>
          <w:b/>
          <w:sz w:val="20"/>
          <w:szCs w:val="20"/>
        </w:rPr>
      </w:pPr>
    </w:p>
    <w:p w14:paraId="57E9D4A2" w14:textId="4BB6E0A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B35B1">
        <w:rPr>
          <w:sz w:val="20"/>
          <w:szCs w:val="20"/>
          <w:lang w:val="en-NZ"/>
        </w:rPr>
        <w:t>Nazia Hassan</w:t>
      </w:r>
      <w:r w:rsidRPr="00F35A62">
        <w:rPr>
          <w:sz w:val="20"/>
          <w:szCs w:val="20"/>
          <w:lang w:val="en-NZ"/>
        </w:rPr>
        <w:br/>
        <w:t>Contact number:</w:t>
      </w:r>
      <w:r w:rsidR="003B35B1">
        <w:rPr>
          <w:sz w:val="20"/>
          <w:szCs w:val="20"/>
          <w:lang w:val="en-NZ"/>
        </w:rPr>
        <w:t>+32485299036</w:t>
      </w:r>
      <w:r w:rsidRPr="00F35A62">
        <w:rPr>
          <w:sz w:val="20"/>
          <w:szCs w:val="20"/>
          <w:lang w:val="en-NZ"/>
        </w:rPr>
        <w:br/>
        <w:t>Twitter account:</w:t>
      </w:r>
      <w:r w:rsidRPr="00F35A62">
        <w:rPr>
          <w:sz w:val="20"/>
          <w:szCs w:val="20"/>
          <w:lang w:val="en-NZ"/>
        </w:rPr>
        <w:br/>
        <w:t>Linked In account:</w:t>
      </w:r>
      <w:r w:rsidR="003B35B1">
        <w:rPr>
          <w:sz w:val="20"/>
          <w:szCs w:val="20"/>
          <w:lang w:val="en-NZ"/>
        </w:rPr>
        <w:t xml:space="preserve"> nazia hassan</w:t>
      </w:r>
    </w:p>
    <w:p w14:paraId="5F3F76EE" w14:textId="20A0B613" w:rsidR="00BD0A2A" w:rsidRDefault="00EA7D51" w:rsidP="00EA7D51">
      <w:pPr>
        <w:autoSpaceDE w:val="0"/>
        <w:autoSpaceDN w:val="0"/>
        <w:adjustRightInd w:val="0"/>
        <w:rPr>
          <w:sz w:val="20"/>
          <w:szCs w:val="20"/>
          <w:lang w:val="en-NZ"/>
        </w:rPr>
      </w:pPr>
      <w:r w:rsidRPr="00F35A62">
        <w:rPr>
          <w:sz w:val="20"/>
          <w:szCs w:val="20"/>
          <w:lang w:val="en-NZ"/>
        </w:rPr>
        <w:lastRenderedPageBreak/>
        <w:t xml:space="preserve">Session name/ number: </w:t>
      </w:r>
      <w:r w:rsidR="00BD0A2A">
        <w:rPr>
          <w:sz w:val="20"/>
          <w:szCs w:val="20"/>
          <w:lang w:val="en-NZ"/>
        </w:rPr>
        <w:t xml:space="preserve">Track 1 </w:t>
      </w:r>
      <w:r w:rsidR="00A42E3E">
        <w:rPr>
          <w:sz w:val="20"/>
          <w:szCs w:val="20"/>
          <w:lang w:val="en-NZ"/>
        </w:rPr>
        <w:t>Pollution</w:t>
      </w:r>
      <w:r w:rsidR="00BD0A2A">
        <w:rPr>
          <w:sz w:val="20"/>
          <w:szCs w:val="20"/>
          <w:lang w:val="en-NZ"/>
        </w:rPr>
        <w:t xml:space="preserve"> </w:t>
      </w:r>
    </w:p>
    <w:p w14:paraId="408F3626" w14:textId="757EC469" w:rsidR="00EA7D51" w:rsidRPr="00F35A62" w:rsidRDefault="00EA7D51" w:rsidP="00EA7D51">
      <w:pPr>
        <w:autoSpaceDE w:val="0"/>
        <w:autoSpaceDN w:val="0"/>
        <w:adjustRightInd w:val="0"/>
        <w:rPr>
          <w:sz w:val="20"/>
          <w:szCs w:val="20"/>
          <w:lang w:val="en-NZ"/>
        </w:rPr>
      </w:pPr>
      <w:r w:rsidRPr="00F35A62">
        <w:rPr>
          <w:sz w:val="20"/>
          <w:szCs w:val="20"/>
          <w:lang w:val="en-NZ"/>
        </w:rPr>
        <w:t>Category: (Oral presentation)</w:t>
      </w:r>
      <w:r w:rsidRPr="00F35A62">
        <w:rPr>
          <w:sz w:val="20"/>
          <w:szCs w:val="20"/>
          <w:lang w:val="en-NZ"/>
        </w:rPr>
        <w:br/>
      </w:r>
    </w:p>
    <w:p w14:paraId="511D2DD7" w14:textId="77777777"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14:paraId="6774695E"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4ACDB" w14:textId="77777777" w:rsidR="00BD066F" w:rsidRDefault="00BD066F">
      <w:r>
        <w:separator/>
      </w:r>
    </w:p>
  </w:endnote>
  <w:endnote w:type="continuationSeparator" w:id="0">
    <w:p w14:paraId="3A5D2387" w14:textId="77777777" w:rsidR="00BD066F" w:rsidRDefault="00BD0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2040503050201020203"/>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F6EC2"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4CF7C107" wp14:editId="57B5161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C8AD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AB60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F7C107"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4C8AD41"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1AB603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591E37F1" wp14:editId="7754F77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51B9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4D11D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1E37F1"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7851B9A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24D11DD"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11A72F35" wp14:editId="55CAD21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D469A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E5ABD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A72F35"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23D469A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6E5ABD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AFCB1" w14:textId="77777777" w:rsidR="00BD066F" w:rsidRDefault="00BD066F">
      <w:r>
        <w:separator/>
      </w:r>
    </w:p>
  </w:footnote>
  <w:footnote w:type="continuationSeparator" w:id="0">
    <w:p w14:paraId="300B8D14" w14:textId="77777777" w:rsidR="00BD066F" w:rsidRDefault="00BD06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506605131">
    <w:abstractNumId w:val="0"/>
  </w:num>
  <w:num w:numId="2" w16cid:durableId="1810978551">
    <w:abstractNumId w:val="1"/>
  </w:num>
  <w:num w:numId="3" w16cid:durableId="169923705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04806"/>
    <w:rsid w:val="00032D9D"/>
    <w:rsid w:val="000534A1"/>
    <w:rsid w:val="0006797A"/>
    <w:rsid w:val="000B4CAA"/>
    <w:rsid w:val="000E2911"/>
    <w:rsid w:val="001263DF"/>
    <w:rsid w:val="0013631C"/>
    <w:rsid w:val="002471D8"/>
    <w:rsid w:val="00292ED9"/>
    <w:rsid w:val="00351D9B"/>
    <w:rsid w:val="00380299"/>
    <w:rsid w:val="003B35B1"/>
    <w:rsid w:val="00404E5B"/>
    <w:rsid w:val="00414F7B"/>
    <w:rsid w:val="004355DC"/>
    <w:rsid w:val="004749B4"/>
    <w:rsid w:val="00475D20"/>
    <w:rsid w:val="004816E1"/>
    <w:rsid w:val="00494130"/>
    <w:rsid w:val="004B01AF"/>
    <w:rsid w:val="004C48B1"/>
    <w:rsid w:val="004F3523"/>
    <w:rsid w:val="00533D55"/>
    <w:rsid w:val="0054161D"/>
    <w:rsid w:val="00565FB3"/>
    <w:rsid w:val="00590D60"/>
    <w:rsid w:val="005973B9"/>
    <w:rsid w:val="005B15AB"/>
    <w:rsid w:val="005B3A56"/>
    <w:rsid w:val="006060CE"/>
    <w:rsid w:val="0061505C"/>
    <w:rsid w:val="0063497F"/>
    <w:rsid w:val="00714354"/>
    <w:rsid w:val="00725DE7"/>
    <w:rsid w:val="00821489"/>
    <w:rsid w:val="008520D7"/>
    <w:rsid w:val="00873DF0"/>
    <w:rsid w:val="008756E6"/>
    <w:rsid w:val="00897EC5"/>
    <w:rsid w:val="008A0763"/>
    <w:rsid w:val="008E5477"/>
    <w:rsid w:val="009B2D44"/>
    <w:rsid w:val="009E4F38"/>
    <w:rsid w:val="00A07E82"/>
    <w:rsid w:val="00A42E3E"/>
    <w:rsid w:val="00A52075"/>
    <w:rsid w:val="00A9710C"/>
    <w:rsid w:val="00AE13C6"/>
    <w:rsid w:val="00AE3E37"/>
    <w:rsid w:val="00B21A57"/>
    <w:rsid w:val="00B37826"/>
    <w:rsid w:val="00BB0E19"/>
    <w:rsid w:val="00BD066F"/>
    <w:rsid w:val="00BD0A2A"/>
    <w:rsid w:val="00BE6743"/>
    <w:rsid w:val="00C33602"/>
    <w:rsid w:val="00C54001"/>
    <w:rsid w:val="00C56C74"/>
    <w:rsid w:val="00CD6F55"/>
    <w:rsid w:val="00D12319"/>
    <w:rsid w:val="00D62E21"/>
    <w:rsid w:val="00D71A61"/>
    <w:rsid w:val="00D968C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71725"/>
  <w15:docId w15:val="{8464DCEE-5EC0-4EA5-8E28-C40A4C26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B378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mailto:nazia.hassan@ugen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738</Words>
  <Characters>4408</Characters>
  <Application>Microsoft Office Word</Application>
  <DocSecurity>0</DocSecurity>
  <Lines>72</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Nazia Hassan</cp:lastModifiedBy>
  <cp:revision>13</cp:revision>
  <dcterms:created xsi:type="dcterms:W3CDTF">2022-11-09T13:01:00Z</dcterms:created>
  <dcterms:modified xsi:type="dcterms:W3CDTF">2022-11-09T13:30:00Z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