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6C6D" w:rsidRDefault="007C70BA" w:rsidP="007C70BA">
      <w:pPr>
        <w:rPr>
          <w:lang w:val="en-US"/>
        </w:rPr>
      </w:pPr>
      <w:r>
        <w:rPr>
          <w:lang w:val="en-US"/>
        </w:rPr>
        <w:t xml:space="preserve">                            </w:t>
      </w:r>
    </w:p>
    <w:p w:rsidR="007C70BA" w:rsidRDefault="007C70BA" w:rsidP="007C70BA">
      <w:pPr>
        <w:rPr>
          <w:rFonts w:ascii="Times New Roman" w:hAnsi="Times New Roman" w:cs="Times New Roman"/>
          <w:color w:val="000000"/>
          <w:sz w:val="32"/>
          <w:szCs w:val="32"/>
        </w:rPr>
      </w:pPr>
      <w:r>
        <w:rPr>
          <w:lang w:val="en-US"/>
        </w:rPr>
        <w:t xml:space="preserve">  </w:t>
      </w:r>
      <w:r w:rsidRPr="007C70BA">
        <w:rPr>
          <w:rFonts w:ascii="Times New Roman" w:hAnsi="Times New Roman" w:cs="Times New Roman"/>
          <w:color w:val="000000"/>
          <w:sz w:val="32"/>
          <w:szCs w:val="32"/>
        </w:rPr>
        <w:t>The use of electronic pain assessment tools for pain evaluation in children and</w:t>
      </w:r>
      <w:r>
        <w:rPr>
          <w:rFonts w:ascii="Times New Roman" w:hAnsi="Times New Roman" w:cs="Times New Roman"/>
          <w:color w:val="000000"/>
          <w:sz w:val="32"/>
          <w:szCs w:val="32"/>
        </w:rPr>
        <w:t xml:space="preserve"> </w:t>
      </w:r>
      <w:r w:rsidRPr="007C70BA">
        <w:rPr>
          <w:rFonts w:ascii="Times New Roman" w:hAnsi="Times New Roman" w:cs="Times New Roman"/>
          <w:color w:val="000000"/>
          <w:sz w:val="32"/>
          <w:szCs w:val="32"/>
        </w:rPr>
        <w:t xml:space="preserve">adolescents: A Literature Review  </w:t>
      </w:r>
    </w:p>
    <w:p w:rsidR="007C70BA" w:rsidRDefault="007C70BA" w:rsidP="007C70BA">
      <w:pPr>
        <w:rPr>
          <w:rFonts w:ascii="Times New Roman" w:hAnsi="Times New Roman" w:cs="Times New Roman"/>
          <w:sz w:val="24"/>
          <w:szCs w:val="24"/>
        </w:rPr>
      </w:pPr>
      <w:proofErr w:type="spellStart"/>
      <w:r w:rsidRPr="007C70BA">
        <w:rPr>
          <w:rFonts w:ascii="Times New Roman" w:eastAsia="MS PGothic" w:hAnsi="Times New Roman" w:cs="Times New Roman"/>
          <w:color w:val="000000"/>
          <w:sz w:val="24"/>
          <w:szCs w:val="24"/>
        </w:rPr>
        <w:t>Giorgi</w:t>
      </w:r>
      <w:proofErr w:type="spellEnd"/>
      <w:r w:rsidRPr="007C70BA">
        <w:rPr>
          <w:rFonts w:ascii="Times New Roman" w:eastAsia="MS PGothic" w:hAnsi="Times New Roman" w:cs="Times New Roman"/>
          <w:color w:val="000000"/>
          <w:sz w:val="24"/>
          <w:szCs w:val="24"/>
        </w:rPr>
        <w:t xml:space="preserve"> </w:t>
      </w:r>
      <w:proofErr w:type="spellStart"/>
      <w:r w:rsidRPr="007C70BA">
        <w:rPr>
          <w:rFonts w:ascii="Times New Roman" w:eastAsia="MS PGothic" w:hAnsi="Times New Roman" w:cs="Times New Roman"/>
          <w:color w:val="000000"/>
          <w:sz w:val="24"/>
          <w:szCs w:val="24"/>
        </w:rPr>
        <w:t>Dugashvili</w:t>
      </w:r>
      <w:proofErr w:type="spellEnd"/>
      <w:r w:rsidRPr="007C70BA">
        <w:rPr>
          <w:rFonts w:ascii="Times New Roman" w:eastAsia="MS PGothic" w:hAnsi="Times New Roman" w:cs="Times New Roman"/>
          <w:color w:val="000000"/>
          <w:sz w:val="24"/>
          <w:szCs w:val="24"/>
        </w:rPr>
        <w:t>*</w:t>
      </w:r>
    </w:p>
    <w:p w:rsidR="007C70BA" w:rsidRPr="007C70BA" w:rsidRDefault="007C70BA" w:rsidP="007C70BA">
      <w:pPr>
        <w:rPr>
          <w:rFonts w:ascii="Times New Roman" w:hAnsi="Times New Roman" w:cs="Times New Roman"/>
          <w:sz w:val="24"/>
          <w:szCs w:val="24"/>
        </w:rPr>
      </w:pPr>
      <w:proofErr w:type="spellStart"/>
      <w:r w:rsidRPr="007C70BA">
        <w:rPr>
          <w:rFonts w:ascii="Times New Roman" w:hAnsi="Times New Roman" w:cs="Times New Roman"/>
        </w:rPr>
        <w:t>Grigol</w:t>
      </w:r>
      <w:proofErr w:type="spellEnd"/>
      <w:r w:rsidRPr="007C70BA">
        <w:rPr>
          <w:rFonts w:ascii="Times New Roman" w:hAnsi="Times New Roman" w:cs="Times New Roman"/>
        </w:rPr>
        <w:t xml:space="preserve"> </w:t>
      </w:r>
      <w:proofErr w:type="spellStart"/>
      <w:r w:rsidRPr="007C70BA">
        <w:rPr>
          <w:rFonts w:ascii="Times New Roman" w:hAnsi="Times New Roman" w:cs="Times New Roman"/>
        </w:rPr>
        <w:t>Robakidze</w:t>
      </w:r>
      <w:proofErr w:type="spellEnd"/>
      <w:r w:rsidRPr="007C70BA">
        <w:rPr>
          <w:rFonts w:ascii="Times New Roman" w:hAnsi="Times New Roman" w:cs="Times New Roman"/>
        </w:rPr>
        <w:t xml:space="preserve"> University</w:t>
      </w:r>
      <w:r w:rsidRPr="007C70BA">
        <w:rPr>
          <w:rFonts w:ascii="Times New Roman" w:hAnsi="Times New Roman" w:cs="Times New Roman"/>
        </w:rPr>
        <w:t xml:space="preserve">, </w:t>
      </w:r>
      <w:r w:rsidRPr="007C70BA">
        <w:rPr>
          <w:rFonts w:ascii="Times New Roman" w:hAnsi="Times New Roman" w:cs="Times New Roman"/>
        </w:rPr>
        <w:t>Georgia</w:t>
      </w:r>
    </w:p>
    <w:p w:rsidR="007C70BA" w:rsidRPr="007C70BA" w:rsidRDefault="007C70BA" w:rsidP="007C70BA">
      <w:pPr>
        <w:rPr>
          <w:rFonts w:ascii="Times New Roman" w:hAnsi="Times New Roman" w:cs="Times New Roman"/>
          <w:b/>
          <w:color w:val="000000"/>
          <w:sz w:val="24"/>
          <w:szCs w:val="24"/>
        </w:rPr>
      </w:pPr>
      <w:r>
        <w:rPr>
          <w:color w:val="000000"/>
        </w:rPr>
        <w:t xml:space="preserve">                                                                     </w:t>
      </w:r>
      <w:r w:rsidRPr="007C70BA">
        <w:rPr>
          <w:rFonts w:ascii="Times New Roman" w:hAnsi="Times New Roman" w:cs="Times New Roman"/>
          <w:b/>
          <w:color w:val="000000"/>
          <w:sz w:val="24"/>
          <w:szCs w:val="24"/>
        </w:rPr>
        <w:t>Abstract</w:t>
      </w:r>
    </w:p>
    <w:p w:rsidR="007C70BA" w:rsidRPr="007C70BA" w:rsidRDefault="007C70BA" w:rsidP="007C70BA">
      <w:pPr>
        <w:jc w:val="both"/>
        <w:rPr>
          <w:rFonts w:ascii="Times New Roman" w:hAnsi="Times New Roman" w:cs="Times New Roman"/>
          <w:color w:val="000000"/>
          <w:sz w:val="20"/>
          <w:szCs w:val="20"/>
        </w:rPr>
      </w:pPr>
      <w:r w:rsidRPr="007C70BA">
        <w:rPr>
          <w:rFonts w:ascii="Times New Roman" w:hAnsi="Times New Roman" w:cs="Times New Roman"/>
          <w:color w:val="000000"/>
          <w:sz w:val="20"/>
          <w:szCs w:val="20"/>
        </w:rPr>
        <w:t xml:space="preserve">The purpose of this literature review is to determine the validity and feasibility of electronic pain assessment tools in recording pain intensity in children and adolescents.  </w:t>
      </w:r>
    </w:p>
    <w:p w:rsidR="007C70BA" w:rsidRPr="007C70BA" w:rsidRDefault="007C70BA" w:rsidP="007C70BA">
      <w:pPr>
        <w:jc w:val="both"/>
        <w:rPr>
          <w:rFonts w:ascii="Times New Roman" w:hAnsi="Times New Roman" w:cs="Times New Roman"/>
          <w:color w:val="000000"/>
          <w:sz w:val="20"/>
          <w:szCs w:val="20"/>
        </w:rPr>
      </w:pPr>
      <w:r w:rsidRPr="007C70BA">
        <w:rPr>
          <w:rFonts w:ascii="Times New Roman" w:hAnsi="Times New Roman" w:cs="Times New Roman"/>
          <w:color w:val="000000"/>
          <w:sz w:val="20"/>
          <w:szCs w:val="20"/>
        </w:rPr>
        <w:t>The continuous growth of mobile health (</w:t>
      </w:r>
      <w:proofErr w:type="spellStart"/>
      <w:r w:rsidRPr="007C70BA">
        <w:rPr>
          <w:rFonts w:ascii="Times New Roman" w:hAnsi="Times New Roman" w:cs="Times New Roman"/>
          <w:color w:val="000000"/>
          <w:sz w:val="20"/>
          <w:szCs w:val="20"/>
        </w:rPr>
        <w:t>mHealth</w:t>
      </w:r>
      <w:proofErr w:type="spellEnd"/>
      <w:r w:rsidRPr="007C70BA">
        <w:rPr>
          <w:rFonts w:ascii="Times New Roman" w:hAnsi="Times New Roman" w:cs="Times New Roman"/>
          <w:color w:val="000000"/>
          <w:sz w:val="20"/>
          <w:szCs w:val="20"/>
        </w:rPr>
        <w:t>) provides unprecedented opportunity to solve concerns connected to health systems and access to accurate, trustworthy, and frequent health data. The use of smart technology in pain evaluation may provide opportunity to apply customised pain evaluations in a variety of clinical situations. The use of an electronic pain scale enables data to be gathered, evaluated, and utilized promptly.</w:t>
      </w:r>
    </w:p>
    <w:p w:rsidR="007C70BA" w:rsidRPr="007C70BA" w:rsidRDefault="007C70BA" w:rsidP="007C70BA">
      <w:pPr>
        <w:jc w:val="both"/>
        <w:rPr>
          <w:rFonts w:ascii="Times New Roman" w:hAnsi="Times New Roman" w:cs="Times New Roman"/>
          <w:color w:val="000000"/>
          <w:sz w:val="20"/>
          <w:szCs w:val="20"/>
        </w:rPr>
      </w:pPr>
      <w:r w:rsidRPr="007C70BA">
        <w:rPr>
          <w:rFonts w:ascii="Times New Roman" w:hAnsi="Times New Roman" w:cs="Times New Roman"/>
          <w:color w:val="000000"/>
          <w:sz w:val="20"/>
          <w:szCs w:val="20"/>
        </w:rPr>
        <w:t>Mobile health tools may be advantageous for patients living in geographically isolated places, when access to experts is limited.</w:t>
      </w:r>
      <w:r w:rsidRPr="007C70BA">
        <w:rPr>
          <w:rFonts w:ascii="Times New Roman" w:hAnsi="Times New Roman" w:cs="Times New Roman"/>
          <w:sz w:val="20"/>
          <w:szCs w:val="20"/>
        </w:rPr>
        <w:t xml:space="preserve"> </w:t>
      </w:r>
      <w:r w:rsidRPr="007C70BA">
        <w:rPr>
          <w:rFonts w:ascii="Times New Roman" w:hAnsi="Times New Roman" w:cs="Times New Roman"/>
          <w:color w:val="000000"/>
          <w:sz w:val="20"/>
          <w:szCs w:val="20"/>
        </w:rPr>
        <w:t>Patients and parents or carers may not always be required to visit the hospital, saving time and money spent on long-distance travel from remote locations.</w:t>
      </w:r>
    </w:p>
    <w:p w:rsidR="007C70BA" w:rsidRPr="007C70BA" w:rsidRDefault="007C70BA" w:rsidP="007C70BA">
      <w:pPr>
        <w:jc w:val="both"/>
        <w:rPr>
          <w:rFonts w:ascii="Times New Roman" w:hAnsi="Times New Roman" w:cs="Times New Roman"/>
          <w:color w:val="000000"/>
          <w:sz w:val="20"/>
          <w:szCs w:val="20"/>
        </w:rPr>
      </w:pPr>
      <w:r w:rsidRPr="007C70BA">
        <w:rPr>
          <w:rFonts w:ascii="Times New Roman" w:hAnsi="Times New Roman" w:cs="Times New Roman"/>
          <w:color w:val="000000"/>
          <w:sz w:val="20"/>
          <w:szCs w:val="20"/>
        </w:rPr>
        <w:t xml:space="preserve">Reliable and validated pain intensity assessment techniques are necessary to evaluate and execute suitable and timely interventions. The tools such as Visual </w:t>
      </w:r>
      <w:proofErr w:type="spellStart"/>
      <w:r w:rsidRPr="007C70BA">
        <w:rPr>
          <w:rFonts w:ascii="Times New Roman" w:hAnsi="Times New Roman" w:cs="Times New Roman"/>
          <w:color w:val="000000"/>
          <w:sz w:val="20"/>
          <w:szCs w:val="20"/>
        </w:rPr>
        <w:t>Analog</w:t>
      </w:r>
      <w:proofErr w:type="spellEnd"/>
      <w:r w:rsidRPr="007C70BA">
        <w:rPr>
          <w:rFonts w:ascii="Times New Roman" w:hAnsi="Times New Roman" w:cs="Times New Roman"/>
          <w:color w:val="000000"/>
          <w:sz w:val="20"/>
          <w:szCs w:val="20"/>
        </w:rPr>
        <w:t xml:space="preserve"> Scale (VAS), Wong Baker Scale, Universal Pain </w:t>
      </w:r>
      <w:proofErr w:type="spellStart"/>
      <w:r w:rsidRPr="007C70BA">
        <w:rPr>
          <w:rFonts w:ascii="Times New Roman" w:hAnsi="Times New Roman" w:cs="Times New Roman"/>
          <w:color w:val="000000"/>
          <w:sz w:val="20"/>
          <w:szCs w:val="20"/>
        </w:rPr>
        <w:t>Assassment</w:t>
      </w:r>
      <w:proofErr w:type="spellEnd"/>
      <w:r w:rsidRPr="007C70BA">
        <w:rPr>
          <w:rFonts w:ascii="Times New Roman" w:hAnsi="Times New Roman" w:cs="Times New Roman"/>
          <w:color w:val="000000"/>
          <w:sz w:val="20"/>
          <w:szCs w:val="20"/>
        </w:rPr>
        <w:t xml:space="preserve"> Tool (UPAT), Numeric Rating Scale, Verbal Rating Scale, and Faces Pain Scale-Revised have been thoroughly verified as effective tools for measuring pain and are widely used by health professionals on a daily basis. In recent years, developments in digital health have resulted in tremendous progress in real-time pain-related data collecting, which may enhance pain management. </w:t>
      </w:r>
    </w:p>
    <w:p w:rsidR="007C70BA" w:rsidRPr="007C70BA" w:rsidRDefault="007C70BA" w:rsidP="007C70BA">
      <w:pPr>
        <w:jc w:val="both"/>
        <w:rPr>
          <w:rFonts w:ascii="Times New Roman" w:hAnsi="Times New Roman" w:cs="Times New Roman"/>
          <w:color w:val="000000"/>
          <w:sz w:val="20"/>
          <w:szCs w:val="20"/>
        </w:rPr>
      </w:pPr>
      <w:r w:rsidRPr="007C70BA">
        <w:rPr>
          <w:rFonts w:ascii="Times New Roman" w:hAnsi="Times New Roman" w:cs="Times New Roman"/>
          <w:color w:val="000000"/>
          <w:sz w:val="20"/>
          <w:szCs w:val="20"/>
        </w:rPr>
        <w:t>Electronic pain assessment tools may support early pain detection in children and adolescents, preventing incidences of unnecessary prolonged pain with a consequent improvement in the patient’s quality of life.</w:t>
      </w:r>
    </w:p>
    <w:p w:rsidR="007C70BA" w:rsidRPr="007C70BA" w:rsidRDefault="007C70BA" w:rsidP="007C70BA">
      <w:pPr>
        <w:autoSpaceDE w:val="0"/>
        <w:autoSpaceDN w:val="0"/>
        <w:adjustRightInd w:val="0"/>
        <w:rPr>
          <w:rFonts w:ascii="Times New Roman" w:hAnsi="Times New Roman" w:cs="Times New Roman"/>
          <w:b/>
          <w:sz w:val="20"/>
          <w:szCs w:val="20"/>
          <w:lang w:val="en-NZ"/>
        </w:rPr>
      </w:pPr>
      <w:r w:rsidRPr="007C70BA">
        <w:rPr>
          <w:rFonts w:ascii="Times New Roman" w:hAnsi="Times New Roman" w:cs="Times New Roman"/>
          <w:b/>
          <w:sz w:val="20"/>
          <w:szCs w:val="20"/>
          <w:lang w:val="en-NZ"/>
        </w:rPr>
        <w:t>References</w:t>
      </w:r>
      <w:r w:rsidRPr="007C70BA">
        <w:rPr>
          <w:rFonts w:ascii="Times New Roman" w:hAnsi="Times New Roman" w:cs="Times New Roman"/>
          <w:b/>
          <w:sz w:val="20"/>
          <w:szCs w:val="20"/>
          <w:lang w:val="en-NZ"/>
        </w:rPr>
        <w:t>:</w:t>
      </w:r>
    </w:p>
    <w:p w:rsidR="007C70BA" w:rsidRPr="007C70BA" w:rsidRDefault="007C70BA" w:rsidP="007C70BA">
      <w:pPr>
        <w:pStyle w:val="ListParagraph"/>
        <w:widowControl w:val="0"/>
        <w:numPr>
          <w:ilvl w:val="0"/>
          <w:numId w:val="1"/>
        </w:numPr>
        <w:autoSpaceDE w:val="0"/>
        <w:autoSpaceDN w:val="0"/>
        <w:adjustRightInd w:val="0"/>
        <w:spacing w:line="480" w:lineRule="auto"/>
        <w:jc w:val="both"/>
        <w:rPr>
          <w:rFonts w:ascii="Times New Roman" w:hAnsi="Times New Roman" w:cs="Times New Roman"/>
          <w:sz w:val="20"/>
          <w:szCs w:val="20"/>
        </w:rPr>
      </w:pPr>
      <w:r w:rsidRPr="007C70BA">
        <w:rPr>
          <w:rFonts w:ascii="Times New Roman" w:hAnsi="Times New Roman" w:cs="Times New Roman"/>
          <w:sz w:val="20"/>
          <w:szCs w:val="20"/>
        </w:rPr>
        <w:t xml:space="preserve">Davis, T. L., </w:t>
      </w:r>
      <w:proofErr w:type="spellStart"/>
      <w:r w:rsidRPr="007C70BA">
        <w:rPr>
          <w:rFonts w:ascii="Times New Roman" w:hAnsi="Times New Roman" w:cs="Times New Roman"/>
          <w:sz w:val="20"/>
          <w:szCs w:val="20"/>
        </w:rPr>
        <w:t>DiClemente</w:t>
      </w:r>
      <w:proofErr w:type="spellEnd"/>
      <w:r w:rsidRPr="007C70BA">
        <w:rPr>
          <w:rFonts w:ascii="Times New Roman" w:hAnsi="Times New Roman" w:cs="Times New Roman"/>
          <w:sz w:val="20"/>
          <w:szCs w:val="20"/>
        </w:rPr>
        <w:t xml:space="preserve">, R., &amp; </w:t>
      </w:r>
      <w:proofErr w:type="spellStart"/>
      <w:r w:rsidRPr="007C70BA">
        <w:rPr>
          <w:rFonts w:ascii="Times New Roman" w:hAnsi="Times New Roman" w:cs="Times New Roman"/>
          <w:sz w:val="20"/>
          <w:szCs w:val="20"/>
        </w:rPr>
        <w:t>Prietula</w:t>
      </w:r>
      <w:proofErr w:type="spellEnd"/>
      <w:r w:rsidRPr="007C70BA">
        <w:rPr>
          <w:rFonts w:ascii="Times New Roman" w:hAnsi="Times New Roman" w:cs="Times New Roman"/>
          <w:sz w:val="20"/>
          <w:szCs w:val="20"/>
        </w:rPr>
        <w:t xml:space="preserve">, M. (2016). Taking </w:t>
      </w:r>
      <w:proofErr w:type="spellStart"/>
      <w:r w:rsidRPr="007C70BA">
        <w:rPr>
          <w:rFonts w:ascii="Times New Roman" w:hAnsi="Times New Roman" w:cs="Times New Roman"/>
          <w:sz w:val="20"/>
          <w:szCs w:val="20"/>
        </w:rPr>
        <w:t>mHealth</w:t>
      </w:r>
      <w:proofErr w:type="spellEnd"/>
      <w:r w:rsidRPr="007C70BA">
        <w:rPr>
          <w:rFonts w:ascii="Times New Roman" w:hAnsi="Times New Roman" w:cs="Times New Roman"/>
          <w:sz w:val="20"/>
          <w:szCs w:val="20"/>
        </w:rPr>
        <w:t xml:space="preserve"> Forward: Examining the Core Characteristics. </w:t>
      </w:r>
      <w:r w:rsidRPr="007C70BA">
        <w:rPr>
          <w:rFonts w:ascii="Times New Roman" w:hAnsi="Times New Roman" w:cs="Times New Roman"/>
          <w:i/>
          <w:iCs/>
          <w:sz w:val="20"/>
          <w:szCs w:val="20"/>
        </w:rPr>
        <w:t xml:space="preserve">JMIR </w:t>
      </w:r>
      <w:proofErr w:type="spellStart"/>
      <w:r w:rsidRPr="007C70BA">
        <w:rPr>
          <w:rFonts w:ascii="Times New Roman" w:hAnsi="Times New Roman" w:cs="Times New Roman"/>
          <w:i/>
          <w:iCs/>
          <w:sz w:val="20"/>
          <w:szCs w:val="20"/>
        </w:rPr>
        <w:t>MHealth</w:t>
      </w:r>
      <w:proofErr w:type="spellEnd"/>
      <w:r w:rsidRPr="007C70BA">
        <w:rPr>
          <w:rFonts w:ascii="Times New Roman" w:hAnsi="Times New Roman" w:cs="Times New Roman"/>
          <w:i/>
          <w:iCs/>
          <w:sz w:val="20"/>
          <w:szCs w:val="20"/>
        </w:rPr>
        <w:t xml:space="preserve"> and </w:t>
      </w:r>
      <w:proofErr w:type="spellStart"/>
      <w:r w:rsidRPr="007C70BA">
        <w:rPr>
          <w:rFonts w:ascii="Times New Roman" w:hAnsi="Times New Roman" w:cs="Times New Roman"/>
          <w:i/>
          <w:iCs/>
          <w:sz w:val="20"/>
          <w:szCs w:val="20"/>
        </w:rPr>
        <w:t>UHealth</w:t>
      </w:r>
      <w:proofErr w:type="spellEnd"/>
      <w:r w:rsidRPr="007C70BA">
        <w:rPr>
          <w:rFonts w:ascii="Times New Roman" w:hAnsi="Times New Roman" w:cs="Times New Roman"/>
          <w:sz w:val="20"/>
          <w:szCs w:val="20"/>
        </w:rPr>
        <w:t xml:space="preserve">, </w:t>
      </w:r>
      <w:r w:rsidRPr="007C70BA">
        <w:rPr>
          <w:rFonts w:ascii="Times New Roman" w:hAnsi="Times New Roman" w:cs="Times New Roman"/>
          <w:i/>
          <w:iCs/>
          <w:sz w:val="20"/>
          <w:szCs w:val="20"/>
        </w:rPr>
        <w:t>4</w:t>
      </w:r>
      <w:r w:rsidRPr="007C70BA">
        <w:rPr>
          <w:rFonts w:ascii="Times New Roman" w:hAnsi="Times New Roman" w:cs="Times New Roman"/>
          <w:sz w:val="20"/>
          <w:szCs w:val="20"/>
        </w:rPr>
        <w:t>(3), e97. https://doi.org/</w:t>
      </w:r>
      <w:hyperlink r:id="rId6" w:history="1">
        <w:r w:rsidRPr="007C70BA">
          <w:rPr>
            <w:rFonts w:ascii="Times New Roman" w:hAnsi="Times New Roman" w:cs="Times New Roman"/>
            <w:sz w:val="20"/>
            <w:szCs w:val="20"/>
          </w:rPr>
          <w:t>10.2196/mhealth.5659</w:t>
        </w:r>
      </w:hyperlink>
    </w:p>
    <w:p w:rsidR="007C70BA" w:rsidRPr="007C70BA" w:rsidRDefault="007C70BA" w:rsidP="007C70BA">
      <w:pPr>
        <w:pStyle w:val="ListParagraph"/>
        <w:widowControl w:val="0"/>
        <w:numPr>
          <w:ilvl w:val="0"/>
          <w:numId w:val="1"/>
        </w:numPr>
        <w:autoSpaceDE w:val="0"/>
        <w:autoSpaceDN w:val="0"/>
        <w:adjustRightInd w:val="0"/>
        <w:spacing w:line="480" w:lineRule="auto"/>
        <w:jc w:val="both"/>
        <w:rPr>
          <w:rFonts w:ascii="Times New Roman" w:hAnsi="Times New Roman" w:cs="Times New Roman"/>
          <w:sz w:val="20"/>
          <w:szCs w:val="20"/>
        </w:rPr>
      </w:pPr>
      <w:proofErr w:type="spellStart"/>
      <w:r w:rsidRPr="007C70BA">
        <w:rPr>
          <w:rFonts w:ascii="Times New Roman" w:hAnsi="Times New Roman" w:cs="Times New Roman"/>
          <w:sz w:val="20"/>
          <w:szCs w:val="20"/>
        </w:rPr>
        <w:t>Dugashvili</w:t>
      </w:r>
      <w:proofErr w:type="spellEnd"/>
      <w:r w:rsidRPr="007C70BA">
        <w:rPr>
          <w:rFonts w:ascii="Times New Roman" w:hAnsi="Times New Roman" w:cs="Times New Roman"/>
          <w:sz w:val="20"/>
          <w:szCs w:val="20"/>
        </w:rPr>
        <w:t xml:space="preserve">, G., </w:t>
      </w:r>
      <w:proofErr w:type="spellStart"/>
      <w:r w:rsidRPr="007C70BA">
        <w:rPr>
          <w:rFonts w:ascii="Times New Roman" w:hAnsi="Times New Roman" w:cs="Times New Roman"/>
          <w:sz w:val="20"/>
          <w:szCs w:val="20"/>
        </w:rPr>
        <w:t>Kotchlashvili</w:t>
      </w:r>
      <w:proofErr w:type="spellEnd"/>
      <w:r w:rsidRPr="007C70BA">
        <w:rPr>
          <w:rFonts w:ascii="Times New Roman" w:hAnsi="Times New Roman" w:cs="Times New Roman"/>
          <w:sz w:val="20"/>
          <w:szCs w:val="20"/>
        </w:rPr>
        <w:t xml:space="preserve">, T., </w:t>
      </w:r>
      <w:proofErr w:type="spellStart"/>
      <w:r w:rsidRPr="007C70BA">
        <w:rPr>
          <w:rFonts w:ascii="Times New Roman" w:hAnsi="Times New Roman" w:cs="Times New Roman"/>
          <w:sz w:val="20"/>
          <w:szCs w:val="20"/>
        </w:rPr>
        <w:t>Menabde</w:t>
      </w:r>
      <w:proofErr w:type="spellEnd"/>
      <w:r w:rsidRPr="007C70BA">
        <w:rPr>
          <w:rFonts w:ascii="Times New Roman" w:hAnsi="Times New Roman" w:cs="Times New Roman"/>
          <w:sz w:val="20"/>
          <w:szCs w:val="20"/>
        </w:rPr>
        <w:t xml:space="preserve">, G., </w:t>
      </w:r>
      <w:proofErr w:type="spellStart"/>
      <w:r w:rsidRPr="007C70BA">
        <w:rPr>
          <w:rFonts w:ascii="Times New Roman" w:hAnsi="Times New Roman" w:cs="Times New Roman"/>
          <w:sz w:val="20"/>
          <w:szCs w:val="20"/>
        </w:rPr>
        <w:t>Janelidze</w:t>
      </w:r>
      <w:proofErr w:type="spellEnd"/>
      <w:r w:rsidRPr="007C70BA">
        <w:rPr>
          <w:rFonts w:ascii="Times New Roman" w:hAnsi="Times New Roman" w:cs="Times New Roman"/>
          <w:sz w:val="20"/>
          <w:szCs w:val="20"/>
        </w:rPr>
        <w:t xml:space="preserve">, M., &amp; Marks, L. (2019). Use of the universal pain assessment tool for evaluating pain associated with </w:t>
      </w:r>
      <w:proofErr w:type="spellStart"/>
      <w:r w:rsidRPr="007C70BA">
        <w:rPr>
          <w:rFonts w:ascii="Times New Roman" w:hAnsi="Times New Roman" w:cs="Times New Roman"/>
          <w:sz w:val="20"/>
          <w:szCs w:val="20"/>
        </w:rPr>
        <w:t>temporomandibular</w:t>
      </w:r>
      <w:proofErr w:type="spellEnd"/>
      <w:r w:rsidRPr="007C70BA">
        <w:rPr>
          <w:rFonts w:ascii="Times New Roman" w:hAnsi="Times New Roman" w:cs="Times New Roman"/>
          <w:sz w:val="20"/>
          <w:szCs w:val="20"/>
        </w:rPr>
        <w:t xml:space="preserve"> disorders in youngsters. European journal of paediatric dentistry, 20(4), 315–319. https://doi.org/10.23804/ejpd.2019.20.04.11</w:t>
      </w:r>
    </w:p>
    <w:p w:rsidR="007C70BA" w:rsidRPr="007C70BA" w:rsidRDefault="007C70BA" w:rsidP="007C70BA">
      <w:pPr>
        <w:pStyle w:val="ListParagraph"/>
        <w:widowControl w:val="0"/>
        <w:numPr>
          <w:ilvl w:val="0"/>
          <w:numId w:val="1"/>
        </w:numPr>
        <w:autoSpaceDE w:val="0"/>
        <w:autoSpaceDN w:val="0"/>
        <w:adjustRightInd w:val="0"/>
        <w:spacing w:line="480" w:lineRule="auto"/>
        <w:jc w:val="both"/>
        <w:rPr>
          <w:rFonts w:ascii="Times New Roman" w:hAnsi="Times New Roman" w:cs="Times New Roman"/>
          <w:sz w:val="20"/>
          <w:szCs w:val="20"/>
        </w:rPr>
      </w:pPr>
      <w:r w:rsidRPr="007C70BA">
        <w:rPr>
          <w:rFonts w:ascii="Times New Roman" w:hAnsi="Times New Roman" w:cs="Times New Roman"/>
          <w:sz w:val="20"/>
          <w:szCs w:val="20"/>
        </w:rPr>
        <w:t xml:space="preserve">Hicks, C. L., von Baeyer, C. L., </w:t>
      </w:r>
      <w:proofErr w:type="spellStart"/>
      <w:r w:rsidRPr="007C70BA">
        <w:rPr>
          <w:rFonts w:ascii="Times New Roman" w:hAnsi="Times New Roman" w:cs="Times New Roman"/>
          <w:sz w:val="20"/>
          <w:szCs w:val="20"/>
        </w:rPr>
        <w:t>Spafford</w:t>
      </w:r>
      <w:proofErr w:type="spellEnd"/>
      <w:r w:rsidRPr="007C70BA">
        <w:rPr>
          <w:rFonts w:ascii="Times New Roman" w:hAnsi="Times New Roman" w:cs="Times New Roman"/>
          <w:sz w:val="20"/>
          <w:szCs w:val="20"/>
        </w:rPr>
        <w:t xml:space="preserve">, P. A., van </w:t>
      </w:r>
      <w:proofErr w:type="spellStart"/>
      <w:r w:rsidRPr="007C70BA">
        <w:rPr>
          <w:rFonts w:ascii="Times New Roman" w:hAnsi="Times New Roman" w:cs="Times New Roman"/>
          <w:sz w:val="20"/>
          <w:szCs w:val="20"/>
        </w:rPr>
        <w:t>Korlaar</w:t>
      </w:r>
      <w:proofErr w:type="spellEnd"/>
      <w:r w:rsidRPr="007C70BA">
        <w:rPr>
          <w:rFonts w:ascii="Times New Roman" w:hAnsi="Times New Roman" w:cs="Times New Roman"/>
          <w:sz w:val="20"/>
          <w:szCs w:val="20"/>
        </w:rPr>
        <w:t xml:space="preserve">, I., &amp; </w:t>
      </w:r>
      <w:proofErr w:type="spellStart"/>
      <w:r w:rsidRPr="007C70BA">
        <w:rPr>
          <w:rFonts w:ascii="Times New Roman" w:hAnsi="Times New Roman" w:cs="Times New Roman"/>
          <w:sz w:val="20"/>
          <w:szCs w:val="20"/>
        </w:rPr>
        <w:t>Goodenough</w:t>
      </w:r>
      <w:proofErr w:type="spellEnd"/>
      <w:r w:rsidRPr="007C70BA">
        <w:rPr>
          <w:rFonts w:ascii="Times New Roman" w:hAnsi="Times New Roman" w:cs="Times New Roman"/>
          <w:sz w:val="20"/>
          <w:szCs w:val="20"/>
        </w:rPr>
        <w:t xml:space="preserve">, B. (2001). The Faces Pain Scale – Revised: toward a common metric in </w:t>
      </w:r>
      <w:proofErr w:type="spellStart"/>
      <w:r w:rsidRPr="007C70BA">
        <w:rPr>
          <w:rFonts w:ascii="Times New Roman" w:hAnsi="Times New Roman" w:cs="Times New Roman"/>
          <w:sz w:val="20"/>
          <w:szCs w:val="20"/>
        </w:rPr>
        <w:t>pediatric</w:t>
      </w:r>
      <w:proofErr w:type="spellEnd"/>
      <w:r w:rsidRPr="007C70BA">
        <w:rPr>
          <w:rFonts w:ascii="Times New Roman" w:hAnsi="Times New Roman" w:cs="Times New Roman"/>
          <w:sz w:val="20"/>
          <w:szCs w:val="20"/>
        </w:rPr>
        <w:t xml:space="preserve"> pain measurement. </w:t>
      </w:r>
      <w:r w:rsidRPr="007C70BA">
        <w:rPr>
          <w:rFonts w:ascii="Times New Roman" w:hAnsi="Times New Roman" w:cs="Times New Roman"/>
          <w:i/>
          <w:iCs/>
          <w:sz w:val="20"/>
          <w:szCs w:val="20"/>
        </w:rPr>
        <w:t>Pain</w:t>
      </w:r>
      <w:r w:rsidRPr="007C70BA">
        <w:rPr>
          <w:rFonts w:ascii="Times New Roman" w:hAnsi="Times New Roman" w:cs="Times New Roman"/>
          <w:sz w:val="20"/>
          <w:szCs w:val="20"/>
        </w:rPr>
        <w:t xml:space="preserve">, </w:t>
      </w:r>
      <w:r w:rsidRPr="007C70BA">
        <w:rPr>
          <w:rFonts w:ascii="Times New Roman" w:hAnsi="Times New Roman" w:cs="Times New Roman"/>
          <w:i/>
          <w:iCs/>
          <w:sz w:val="20"/>
          <w:szCs w:val="20"/>
        </w:rPr>
        <w:t>93</w:t>
      </w:r>
      <w:r w:rsidRPr="007C70BA">
        <w:rPr>
          <w:rFonts w:ascii="Times New Roman" w:hAnsi="Times New Roman" w:cs="Times New Roman"/>
          <w:sz w:val="20"/>
          <w:szCs w:val="20"/>
        </w:rPr>
        <w:t>(2), 173–183. https://doi.org/</w:t>
      </w:r>
      <w:hyperlink r:id="rId7" w:history="1">
        <w:r w:rsidRPr="007C70BA">
          <w:rPr>
            <w:rFonts w:ascii="Times New Roman" w:hAnsi="Times New Roman" w:cs="Times New Roman"/>
            <w:sz w:val="20"/>
            <w:szCs w:val="20"/>
          </w:rPr>
          <w:t>10.1016/s0304-3959(01)00314-1</w:t>
        </w:r>
      </w:hyperlink>
    </w:p>
    <w:p w:rsidR="007C70BA" w:rsidRPr="007C70BA" w:rsidRDefault="007C70BA" w:rsidP="007C70BA">
      <w:pPr>
        <w:pStyle w:val="ListParagraph"/>
        <w:widowControl w:val="0"/>
        <w:numPr>
          <w:ilvl w:val="0"/>
          <w:numId w:val="1"/>
        </w:numPr>
        <w:autoSpaceDE w:val="0"/>
        <w:autoSpaceDN w:val="0"/>
        <w:adjustRightInd w:val="0"/>
        <w:spacing w:line="480" w:lineRule="auto"/>
        <w:jc w:val="both"/>
        <w:rPr>
          <w:rFonts w:ascii="Times New Roman" w:hAnsi="Times New Roman" w:cs="Times New Roman"/>
          <w:sz w:val="20"/>
          <w:szCs w:val="20"/>
        </w:rPr>
      </w:pPr>
      <w:proofErr w:type="spellStart"/>
      <w:r w:rsidRPr="007C70BA">
        <w:rPr>
          <w:rFonts w:ascii="Times New Roman" w:hAnsi="Times New Roman" w:cs="Times New Roman"/>
          <w:sz w:val="20"/>
          <w:szCs w:val="20"/>
        </w:rPr>
        <w:t>Jibb</w:t>
      </w:r>
      <w:proofErr w:type="spellEnd"/>
      <w:r w:rsidRPr="007C70BA">
        <w:rPr>
          <w:rFonts w:ascii="Times New Roman" w:hAnsi="Times New Roman" w:cs="Times New Roman"/>
          <w:sz w:val="20"/>
          <w:szCs w:val="20"/>
        </w:rPr>
        <w:t xml:space="preserve">, L. A., Khan, J. S., Seth, P., </w:t>
      </w:r>
      <w:proofErr w:type="spellStart"/>
      <w:r w:rsidRPr="007C70BA">
        <w:rPr>
          <w:rFonts w:ascii="Times New Roman" w:hAnsi="Times New Roman" w:cs="Times New Roman"/>
          <w:sz w:val="20"/>
          <w:szCs w:val="20"/>
        </w:rPr>
        <w:t>Lalloo</w:t>
      </w:r>
      <w:proofErr w:type="spellEnd"/>
      <w:r w:rsidRPr="007C70BA">
        <w:rPr>
          <w:rFonts w:ascii="Times New Roman" w:hAnsi="Times New Roman" w:cs="Times New Roman"/>
          <w:sz w:val="20"/>
          <w:szCs w:val="20"/>
        </w:rPr>
        <w:t xml:space="preserve">, C., </w:t>
      </w:r>
      <w:proofErr w:type="spellStart"/>
      <w:r w:rsidRPr="007C70BA">
        <w:rPr>
          <w:rFonts w:ascii="Times New Roman" w:hAnsi="Times New Roman" w:cs="Times New Roman"/>
          <w:sz w:val="20"/>
          <w:szCs w:val="20"/>
        </w:rPr>
        <w:t>Mulrooney</w:t>
      </w:r>
      <w:proofErr w:type="spellEnd"/>
      <w:r w:rsidRPr="007C70BA">
        <w:rPr>
          <w:rFonts w:ascii="Times New Roman" w:hAnsi="Times New Roman" w:cs="Times New Roman"/>
          <w:sz w:val="20"/>
          <w:szCs w:val="20"/>
        </w:rPr>
        <w:t xml:space="preserve">, L., Nicholson, K., Nowak, D. A., </w:t>
      </w:r>
      <w:proofErr w:type="spellStart"/>
      <w:r w:rsidRPr="007C70BA">
        <w:rPr>
          <w:rFonts w:ascii="Times New Roman" w:hAnsi="Times New Roman" w:cs="Times New Roman"/>
          <w:sz w:val="20"/>
          <w:szCs w:val="20"/>
        </w:rPr>
        <w:t>Kaur</w:t>
      </w:r>
      <w:proofErr w:type="spellEnd"/>
      <w:r w:rsidRPr="007C70BA">
        <w:rPr>
          <w:rFonts w:ascii="Times New Roman" w:hAnsi="Times New Roman" w:cs="Times New Roman"/>
          <w:sz w:val="20"/>
          <w:szCs w:val="20"/>
        </w:rPr>
        <w:t xml:space="preserve">, H., </w:t>
      </w:r>
      <w:proofErr w:type="spellStart"/>
      <w:r w:rsidRPr="007C70BA">
        <w:rPr>
          <w:rFonts w:ascii="Times New Roman" w:hAnsi="Times New Roman" w:cs="Times New Roman"/>
          <w:sz w:val="20"/>
          <w:szCs w:val="20"/>
        </w:rPr>
        <w:lastRenderedPageBreak/>
        <w:t>Chee</w:t>
      </w:r>
      <w:proofErr w:type="spellEnd"/>
      <w:r w:rsidRPr="007C70BA">
        <w:rPr>
          <w:rFonts w:ascii="Times New Roman" w:hAnsi="Times New Roman" w:cs="Times New Roman"/>
          <w:sz w:val="20"/>
          <w:szCs w:val="20"/>
        </w:rPr>
        <w:t xml:space="preserve">-A-Tow, A., Foster, J., &amp; Stinson, J. N. (2020). Electronic Data Capture </w:t>
      </w:r>
      <w:proofErr w:type="gramStart"/>
      <w:r w:rsidRPr="007C70BA">
        <w:rPr>
          <w:rFonts w:ascii="Times New Roman" w:hAnsi="Times New Roman" w:cs="Times New Roman"/>
          <w:sz w:val="20"/>
          <w:szCs w:val="20"/>
        </w:rPr>
        <w:t>Versus</w:t>
      </w:r>
      <w:proofErr w:type="gramEnd"/>
      <w:r w:rsidRPr="007C70BA">
        <w:rPr>
          <w:rFonts w:ascii="Times New Roman" w:hAnsi="Times New Roman" w:cs="Times New Roman"/>
          <w:sz w:val="20"/>
          <w:szCs w:val="20"/>
        </w:rPr>
        <w:t xml:space="preserve"> Conventional Data Collection Methods in Clinical Pain Studies: Systematic Review and Meta-Analysis. </w:t>
      </w:r>
      <w:r w:rsidRPr="007C70BA">
        <w:rPr>
          <w:rFonts w:ascii="Times New Roman" w:hAnsi="Times New Roman" w:cs="Times New Roman"/>
          <w:i/>
          <w:iCs/>
          <w:sz w:val="20"/>
          <w:szCs w:val="20"/>
        </w:rPr>
        <w:t>Journal of Medical Internet Research</w:t>
      </w:r>
      <w:r w:rsidRPr="007C70BA">
        <w:rPr>
          <w:rFonts w:ascii="Times New Roman" w:hAnsi="Times New Roman" w:cs="Times New Roman"/>
          <w:sz w:val="20"/>
          <w:szCs w:val="20"/>
        </w:rPr>
        <w:t xml:space="preserve">, </w:t>
      </w:r>
      <w:r w:rsidRPr="007C70BA">
        <w:rPr>
          <w:rFonts w:ascii="Times New Roman" w:hAnsi="Times New Roman" w:cs="Times New Roman"/>
          <w:i/>
          <w:iCs/>
          <w:sz w:val="20"/>
          <w:szCs w:val="20"/>
        </w:rPr>
        <w:t>22</w:t>
      </w:r>
      <w:r w:rsidRPr="007C70BA">
        <w:rPr>
          <w:rFonts w:ascii="Times New Roman" w:hAnsi="Times New Roman" w:cs="Times New Roman"/>
          <w:sz w:val="20"/>
          <w:szCs w:val="20"/>
        </w:rPr>
        <w:t>(6), e16480. https://doi.org/</w:t>
      </w:r>
      <w:hyperlink r:id="rId8" w:history="1">
        <w:r w:rsidRPr="007C70BA">
          <w:rPr>
            <w:rFonts w:ascii="Times New Roman" w:hAnsi="Times New Roman" w:cs="Times New Roman"/>
            <w:sz w:val="20"/>
            <w:szCs w:val="20"/>
          </w:rPr>
          <w:t>10.2196/16480</w:t>
        </w:r>
      </w:hyperlink>
    </w:p>
    <w:p w:rsidR="007C70BA" w:rsidRPr="007C70BA" w:rsidRDefault="007C70BA" w:rsidP="007C70BA">
      <w:pPr>
        <w:pStyle w:val="ListParagraph"/>
        <w:numPr>
          <w:ilvl w:val="0"/>
          <w:numId w:val="1"/>
        </w:numPr>
        <w:autoSpaceDE w:val="0"/>
        <w:autoSpaceDN w:val="0"/>
        <w:adjustRightInd w:val="0"/>
        <w:jc w:val="both"/>
        <w:rPr>
          <w:rFonts w:ascii="Times New Roman" w:hAnsi="Times New Roman" w:cs="Times New Roman"/>
          <w:b/>
          <w:sz w:val="20"/>
          <w:szCs w:val="20"/>
          <w:lang w:val="en-NZ"/>
        </w:rPr>
      </w:pPr>
      <w:r w:rsidRPr="007C70BA">
        <w:rPr>
          <w:rFonts w:ascii="Times New Roman" w:hAnsi="Times New Roman" w:cs="Times New Roman"/>
          <w:sz w:val="20"/>
          <w:szCs w:val="20"/>
        </w:rPr>
        <w:t xml:space="preserve">Luca, N. J., Stinson, J. N., Feldman, B. M., </w:t>
      </w:r>
      <w:proofErr w:type="spellStart"/>
      <w:r w:rsidRPr="007C70BA">
        <w:rPr>
          <w:rFonts w:ascii="Times New Roman" w:hAnsi="Times New Roman" w:cs="Times New Roman"/>
          <w:sz w:val="20"/>
          <w:szCs w:val="20"/>
        </w:rPr>
        <w:t>Benseler</w:t>
      </w:r>
      <w:proofErr w:type="spellEnd"/>
      <w:r w:rsidRPr="007C70BA">
        <w:rPr>
          <w:rFonts w:ascii="Times New Roman" w:hAnsi="Times New Roman" w:cs="Times New Roman"/>
          <w:sz w:val="20"/>
          <w:szCs w:val="20"/>
        </w:rPr>
        <w:t xml:space="preserve">, S. M., Beaton, D., </w:t>
      </w:r>
      <w:proofErr w:type="spellStart"/>
      <w:r w:rsidRPr="007C70BA">
        <w:rPr>
          <w:rFonts w:ascii="Times New Roman" w:hAnsi="Times New Roman" w:cs="Times New Roman"/>
          <w:sz w:val="20"/>
          <w:szCs w:val="20"/>
        </w:rPr>
        <w:t>Campillo</w:t>
      </w:r>
      <w:proofErr w:type="spellEnd"/>
      <w:r w:rsidRPr="007C70BA">
        <w:rPr>
          <w:rFonts w:ascii="Times New Roman" w:hAnsi="Times New Roman" w:cs="Times New Roman"/>
          <w:sz w:val="20"/>
          <w:szCs w:val="20"/>
        </w:rPr>
        <w:t xml:space="preserve">, S., LeBlanc, C., van </w:t>
      </w:r>
      <w:proofErr w:type="spellStart"/>
      <w:r w:rsidRPr="007C70BA">
        <w:rPr>
          <w:rFonts w:ascii="Times New Roman" w:hAnsi="Times New Roman" w:cs="Times New Roman"/>
          <w:sz w:val="20"/>
          <w:szCs w:val="20"/>
        </w:rPr>
        <w:t>Wyk</w:t>
      </w:r>
      <w:proofErr w:type="spellEnd"/>
      <w:r w:rsidRPr="007C70BA">
        <w:rPr>
          <w:rFonts w:ascii="Times New Roman" w:hAnsi="Times New Roman" w:cs="Times New Roman"/>
          <w:sz w:val="20"/>
          <w:szCs w:val="20"/>
        </w:rPr>
        <w:t xml:space="preserve">, M., &amp; </w:t>
      </w:r>
      <w:proofErr w:type="spellStart"/>
      <w:r w:rsidRPr="007C70BA">
        <w:rPr>
          <w:rFonts w:ascii="Times New Roman" w:hAnsi="Times New Roman" w:cs="Times New Roman"/>
          <w:sz w:val="20"/>
          <w:szCs w:val="20"/>
        </w:rPr>
        <w:t>Bayoumi</w:t>
      </w:r>
      <w:proofErr w:type="spellEnd"/>
      <w:r w:rsidRPr="007C70BA">
        <w:rPr>
          <w:rFonts w:ascii="Times New Roman" w:hAnsi="Times New Roman" w:cs="Times New Roman"/>
          <w:sz w:val="20"/>
          <w:szCs w:val="20"/>
        </w:rPr>
        <w:t xml:space="preserve">, A. M. (2017). Validation of the Standardized Universal Pain Evaluations for Rheumatology Providers for Children and Youth (SUPER-KIDZ). </w:t>
      </w:r>
      <w:r w:rsidRPr="007C70BA">
        <w:rPr>
          <w:rFonts w:ascii="Times New Roman" w:hAnsi="Times New Roman" w:cs="Times New Roman"/>
          <w:i/>
          <w:iCs/>
          <w:sz w:val="20"/>
          <w:szCs w:val="20"/>
        </w:rPr>
        <w:t>Journal of Orthopaedic &amp; Sports Physical Therapy</w:t>
      </w:r>
      <w:r w:rsidRPr="007C70BA">
        <w:rPr>
          <w:rFonts w:ascii="Times New Roman" w:hAnsi="Times New Roman" w:cs="Times New Roman"/>
          <w:sz w:val="20"/>
          <w:szCs w:val="20"/>
        </w:rPr>
        <w:t xml:space="preserve">, </w:t>
      </w:r>
      <w:r w:rsidRPr="007C70BA">
        <w:rPr>
          <w:rFonts w:ascii="Times New Roman" w:hAnsi="Times New Roman" w:cs="Times New Roman"/>
          <w:i/>
          <w:iCs/>
          <w:sz w:val="20"/>
          <w:szCs w:val="20"/>
        </w:rPr>
        <w:t>47</w:t>
      </w:r>
      <w:r w:rsidRPr="007C70BA">
        <w:rPr>
          <w:rFonts w:ascii="Times New Roman" w:hAnsi="Times New Roman" w:cs="Times New Roman"/>
          <w:sz w:val="20"/>
          <w:szCs w:val="20"/>
        </w:rPr>
        <w:t>(10), 731–740.</w:t>
      </w:r>
    </w:p>
    <w:p w:rsidR="007C70BA" w:rsidRPr="007C70BA" w:rsidRDefault="007C70BA" w:rsidP="007C70BA">
      <w:pPr>
        <w:pStyle w:val="ListParagraph"/>
        <w:autoSpaceDE w:val="0"/>
        <w:autoSpaceDN w:val="0"/>
        <w:adjustRightInd w:val="0"/>
        <w:jc w:val="both"/>
        <w:rPr>
          <w:rFonts w:ascii="Times New Roman" w:hAnsi="Times New Roman" w:cs="Times New Roman"/>
          <w:b/>
          <w:sz w:val="20"/>
          <w:szCs w:val="20"/>
          <w:lang w:val="en-NZ"/>
        </w:rPr>
      </w:pPr>
      <w:r>
        <w:rPr>
          <w:rFonts w:ascii="Times New Roman" w:hAnsi="Times New Roman" w:cs="Times New Roman"/>
          <w:sz w:val="20"/>
          <w:szCs w:val="20"/>
        </w:rPr>
        <w:t xml:space="preserve">  </w:t>
      </w:r>
    </w:p>
    <w:p w:rsidR="007C70BA" w:rsidRDefault="007C70BA" w:rsidP="007C70BA">
      <w:pPr>
        <w:autoSpaceDE w:val="0"/>
        <w:autoSpaceDN w:val="0"/>
        <w:adjustRightInd w:val="0"/>
        <w:jc w:val="both"/>
        <w:rPr>
          <w:rFonts w:ascii="Times New Roman" w:hAnsi="Times New Roman" w:cs="Times New Roman"/>
          <w:b/>
          <w:sz w:val="24"/>
          <w:szCs w:val="24"/>
          <w:lang w:val="en-NZ"/>
        </w:rPr>
      </w:pPr>
      <w:r w:rsidRPr="007C70BA">
        <w:rPr>
          <w:rFonts w:ascii="Times New Roman" w:hAnsi="Times New Roman" w:cs="Times New Roman"/>
          <w:b/>
          <w:sz w:val="24"/>
          <w:szCs w:val="24"/>
          <w:lang w:val="en-NZ"/>
        </w:rPr>
        <w:t>Biography:</w:t>
      </w:r>
    </w:p>
    <w:p w:rsidR="007C70BA" w:rsidRPr="007C70BA" w:rsidRDefault="007C70BA" w:rsidP="007C70BA">
      <w:pPr>
        <w:rPr>
          <w:rFonts w:ascii="Times New Roman" w:hAnsi="Times New Roman" w:cs="Times New Roman"/>
          <w:sz w:val="20"/>
          <w:szCs w:val="20"/>
        </w:rPr>
      </w:pPr>
      <w:proofErr w:type="spellStart"/>
      <w:r w:rsidRPr="007C70BA">
        <w:rPr>
          <w:rFonts w:ascii="Times New Roman" w:hAnsi="Times New Roman" w:cs="Times New Roman"/>
          <w:sz w:val="20"/>
          <w:szCs w:val="20"/>
        </w:rPr>
        <w:t>Dr.</w:t>
      </w:r>
      <w:proofErr w:type="spellEnd"/>
      <w:r w:rsidRPr="007C70BA">
        <w:rPr>
          <w:rFonts w:ascii="Times New Roman" w:hAnsi="Times New Roman" w:cs="Times New Roman"/>
          <w:sz w:val="20"/>
          <w:szCs w:val="20"/>
        </w:rPr>
        <w:t xml:space="preserve"> </w:t>
      </w:r>
      <w:proofErr w:type="spellStart"/>
      <w:r w:rsidRPr="007C70BA">
        <w:rPr>
          <w:rFonts w:ascii="Times New Roman" w:hAnsi="Times New Roman" w:cs="Times New Roman"/>
          <w:sz w:val="20"/>
          <w:szCs w:val="20"/>
        </w:rPr>
        <w:t>Giorgi</w:t>
      </w:r>
      <w:proofErr w:type="spellEnd"/>
      <w:r w:rsidRPr="007C70BA">
        <w:rPr>
          <w:rFonts w:ascii="Times New Roman" w:hAnsi="Times New Roman" w:cs="Times New Roman"/>
          <w:sz w:val="20"/>
          <w:szCs w:val="20"/>
        </w:rPr>
        <w:t xml:space="preserve"> </w:t>
      </w:r>
      <w:proofErr w:type="spellStart"/>
      <w:r w:rsidRPr="007C70BA">
        <w:rPr>
          <w:rFonts w:ascii="Times New Roman" w:hAnsi="Times New Roman" w:cs="Times New Roman"/>
          <w:sz w:val="20"/>
          <w:szCs w:val="20"/>
        </w:rPr>
        <w:t>Dugashvili</w:t>
      </w:r>
      <w:proofErr w:type="spellEnd"/>
      <w:r w:rsidRPr="007C70BA">
        <w:rPr>
          <w:rFonts w:ascii="Times New Roman" w:hAnsi="Times New Roman" w:cs="Times New Roman"/>
          <w:sz w:val="20"/>
          <w:szCs w:val="20"/>
        </w:rPr>
        <w:t xml:space="preserve"> is a professor at the medical school of </w:t>
      </w:r>
      <w:proofErr w:type="spellStart"/>
      <w:r w:rsidRPr="007C70BA">
        <w:rPr>
          <w:rFonts w:ascii="Times New Roman" w:hAnsi="Times New Roman" w:cs="Times New Roman"/>
          <w:sz w:val="20"/>
          <w:szCs w:val="20"/>
        </w:rPr>
        <w:t>Grigol</w:t>
      </w:r>
      <w:proofErr w:type="spellEnd"/>
      <w:r w:rsidRPr="007C70BA">
        <w:rPr>
          <w:rFonts w:ascii="Times New Roman" w:hAnsi="Times New Roman" w:cs="Times New Roman"/>
          <w:sz w:val="20"/>
          <w:szCs w:val="20"/>
        </w:rPr>
        <w:t xml:space="preserve"> </w:t>
      </w:r>
      <w:proofErr w:type="spellStart"/>
      <w:r w:rsidRPr="007C70BA">
        <w:rPr>
          <w:rFonts w:ascii="Times New Roman" w:hAnsi="Times New Roman" w:cs="Times New Roman"/>
          <w:sz w:val="20"/>
          <w:szCs w:val="20"/>
        </w:rPr>
        <w:t>Robakidze</w:t>
      </w:r>
      <w:proofErr w:type="spellEnd"/>
      <w:r w:rsidRPr="007C70BA">
        <w:rPr>
          <w:rFonts w:ascii="Times New Roman" w:hAnsi="Times New Roman" w:cs="Times New Roman"/>
          <w:sz w:val="20"/>
          <w:szCs w:val="20"/>
        </w:rPr>
        <w:t xml:space="preserve"> University (GRUNI) (the PhD project supported by the European Commission and Centre of Special Care in Dentistry, Ghent University Hospital; defended with the assessment - Magna Cum Laude). </w:t>
      </w:r>
      <w:proofErr w:type="spellStart"/>
      <w:r w:rsidRPr="007C70BA">
        <w:rPr>
          <w:rFonts w:ascii="Times New Roman" w:hAnsi="Times New Roman" w:cs="Times New Roman"/>
          <w:sz w:val="20"/>
          <w:szCs w:val="20"/>
        </w:rPr>
        <w:t>Dr.</w:t>
      </w:r>
      <w:proofErr w:type="spellEnd"/>
      <w:r w:rsidRPr="007C70BA">
        <w:rPr>
          <w:rFonts w:ascii="Times New Roman" w:hAnsi="Times New Roman" w:cs="Times New Roman"/>
          <w:sz w:val="20"/>
          <w:szCs w:val="20"/>
        </w:rPr>
        <w:t xml:space="preserve"> </w:t>
      </w:r>
      <w:proofErr w:type="spellStart"/>
      <w:r w:rsidRPr="007C70BA">
        <w:rPr>
          <w:rFonts w:ascii="Times New Roman" w:hAnsi="Times New Roman" w:cs="Times New Roman"/>
          <w:sz w:val="20"/>
          <w:szCs w:val="20"/>
        </w:rPr>
        <w:t>Dugashvili</w:t>
      </w:r>
      <w:proofErr w:type="spellEnd"/>
      <w:r w:rsidRPr="007C70BA">
        <w:rPr>
          <w:rFonts w:ascii="Times New Roman" w:hAnsi="Times New Roman" w:cs="Times New Roman"/>
          <w:sz w:val="20"/>
          <w:szCs w:val="20"/>
        </w:rPr>
        <w:t xml:space="preserve"> is editor in chief at Journal of Medical Law and Management. He was presidential scholar and graduated with </w:t>
      </w:r>
      <w:proofErr w:type="spellStart"/>
      <w:r w:rsidRPr="007C70BA">
        <w:rPr>
          <w:rFonts w:ascii="Times New Roman" w:hAnsi="Times New Roman" w:cs="Times New Roman"/>
          <w:sz w:val="20"/>
          <w:szCs w:val="20"/>
        </w:rPr>
        <w:t>honors</w:t>
      </w:r>
      <w:proofErr w:type="spellEnd"/>
      <w:r w:rsidRPr="007C70BA">
        <w:rPr>
          <w:rFonts w:ascii="Times New Roman" w:hAnsi="Times New Roman" w:cs="Times New Roman"/>
          <w:sz w:val="20"/>
          <w:szCs w:val="20"/>
        </w:rPr>
        <w:t xml:space="preserve"> (assessment - Summa Cum Laude) from </w:t>
      </w:r>
      <w:proofErr w:type="spellStart"/>
      <w:r w:rsidRPr="007C70BA">
        <w:rPr>
          <w:rFonts w:ascii="Times New Roman" w:hAnsi="Times New Roman" w:cs="Times New Roman"/>
          <w:sz w:val="20"/>
          <w:szCs w:val="20"/>
        </w:rPr>
        <w:t>Ivane</w:t>
      </w:r>
      <w:proofErr w:type="spellEnd"/>
      <w:r w:rsidRPr="007C70BA">
        <w:rPr>
          <w:rFonts w:ascii="Times New Roman" w:hAnsi="Times New Roman" w:cs="Times New Roman"/>
          <w:sz w:val="20"/>
          <w:szCs w:val="20"/>
        </w:rPr>
        <w:t xml:space="preserve"> </w:t>
      </w:r>
      <w:proofErr w:type="spellStart"/>
      <w:r w:rsidRPr="007C70BA">
        <w:rPr>
          <w:rFonts w:ascii="Times New Roman" w:hAnsi="Times New Roman" w:cs="Times New Roman"/>
          <w:sz w:val="20"/>
          <w:szCs w:val="20"/>
        </w:rPr>
        <w:t>Javakhishvili</w:t>
      </w:r>
      <w:proofErr w:type="spellEnd"/>
      <w:r w:rsidRPr="007C70BA">
        <w:rPr>
          <w:rFonts w:ascii="Times New Roman" w:hAnsi="Times New Roman" w:cs="Times New Roman"/>
          <w:sz w:val="20"/>
          <w:szCs w:val="20"/>
        </w:rPr>
        <w:t xml:space="preserve"> Tbilisi State University in 2009. He completed residency programs in Conservative Dentistry (2009-2010) and Oral Surgery in 2012. </w:t>
      </w:r>
      <w:proofErr w:type="spellStart"/>
      <w:r w:rsidRPr="007C70BA">
        <w:rPr>
          <w:rFonts w:ascii="Times New Roman" w:hAnsi="Times New Roman" w:cs="Times New Roman"/>
          <w:sz w:val="20"/>
          <w:szCs w:val="20"/>
        </w:rPr>
        <w:t>Giorgi</w:t>
      </w:r>
      <w:proofErr w:type="spellEnd"/>
      <w:r w:rsidRPr="007C70BA">
        <w:rPr>
          <w:rFonts w:ascii="Times New Roman" w:hAnsi="Times New Roman" w:cs="Times New Roman"/>
          <w:sz w:val="20"/>
          <w:szCs w:val="20"/>
        </w:rPr>
        <w:t xml:space="preserve"> </w:t>
      </w:r>
      <w:proofErr w:type="spellStart"/>
      <w:r w:rsidRPr="007C70BA">
        <w:rPr>
          <w:rFonts w:ascii="Times New Roman" w:hAnsi="Times New Roman" w:cs="Times New Roman"/>
          <w:sz w:val="20"/>
          <w:szCs w:val="20"/>
        </w:rPr>
        <w:t>Dugashvili</w:t>
      </w:r>
      <w:proofErr w:type="spellEnd"/>
      <w:r w:rsidRPr="007C70BA">
        <w:rPr>
          <w:rFonts w:ascii="Times New Roman" w:hAnsi="Times New Roman" w:cs="Times New Roman"/>
          <w:sz w:val="20"/>
          <w:szCs w:val="20"/>
        </w:rPr>
        <w:t xml:space="preserve"> was a PhD researcher at Ghent University in Belgium from 2014 to 2016 within the scopes of Erasmus Mundus program. </w:t>
      </w:r>
      <w:proofErr w:type="spellStart"/>
      <w:r w:rsidRPr="007C70BA">
        <w:rPr>
          <w:rFonts w:ascii="Times New Roman" w:hAnsi="Times New Roman" w:cs="Times New Roman"/>
          <w:sz w:val="20"/>
          <w:szCs w:val="20"/>
        </w:rPr>
        <w:t>Giorgi</w:t>
      </w:r>
      <w:proofErr w:type="spellEnd"/>
      <w:r w:rsidRPr="007C70BA">
        <w:rPr>
          <w:rFonts w:ascii="Times New Roman" w:hAnsi="Times New Roman" w:cs="Times New Roman"/>
          <w:sz w:val="20"/>
          <w:szCs w:val="20"/>
        </w:rPr>
        <w:t xml:space="preserve"> </w:t>
      </w:r>
      <w:proofErr w:type="spellStart"/>
      <w:r w:rsidRPr="007C70BA">
        <w:rPr>
          <w:rFonts w:ascii="Times New Roman" w:hAnsi="Times New Roman" w:cs="Times New Roman"/>
          <w:sz w:val="20"/>
          <w:szCs w:val="20"/>
        </w:rPr>
        <w:t>Dugashvili</w:t>
      </w:r>
      <w:proofErr w:type="spellEnd"/>
      <w:r w:rsidRPr="007C70BA">
        <w:rPr>
          <w:rFonts w:ascii="Times New Roman" w:hAnsi="Times New Roman" w:cs="Times New Roman"/>
          <w:sz w:val="20"/>
          <w:szCs w:val="20"/>
        </w:rPr>
        <w:t xml:space="preserve"> worked as a DMD at TSSU N1 Dental Clinic from 2011 to 2019. He has been a certified clinical director and representative of "Special Olympics" (the world's largest sports organization for children and adults with intellectual and physical disabilities) in Georgia since 2013. His works have been published in various high impact factor journals.</w:t>
      </w:r>
    </w:p>
    <w:p w:rsidR="007C70BA" w:rsidRPr="007C70BA" w:rsidRDefault="007C70BA" w:rsidP="007C70BA">
      <w:pPr>
        <w:autoSpaceDE w:val="0"/>
        <w:autoSpaceDN w:val="0"/>
        <w:adjustRightInd w:val="0"/>
        <w:jc w:val="both"/>
        <w:rPr>
          <w:rFonts w:ascii="Times New Roman" w:hAnsi="Times New Roman" w:cs="Times New Roman"/>
          <w:b/>
          <w:sz w:val="24"/>
          <w:szCs w:val="24"/>
          <w:lang w:val="en-NZ"/>
        </w:rPr>
      </w:pPr>
      <w:bookmarkStart w:id="0" w:name="_GoBack"/>
      <w:bookmarkEnd w:id="0"/>
    </w:p>
    <w:p w:rsidR="007C70BA" w:rsidRPr="007C70BA" w:rsidRDefault="007C70BA" w:rsidP="007C70BA">
      <w:pPr>
        <w:rPr>
          <w:rFonts w:ascii="Times New Roman" w:hAnsi="Times New Roman" w:cs="Times New Roman"/>
          <w:sz w:val="20"/>
          <w:szCs w:val="20"/>
          <w:lang w:val="en-US"/>
        </w:rPr>
      </w:pPr>
    </w:p>
    <w:sectPr w:rsidR="007C70BA" w:rsidRPr="007C70B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2F12C5"/>
    <w:multiLevelType w:val="hybridMultilevel"/>
    <w:tmpl w:val="6CCAFA9E"/>
    <w:lvl w:ilvl="0" w:tplc="4009000F">
      <w:start w:val="1"/>
      <w:numFmt w:val="decimal"/>
      <w:lvlText w:val="%1."/>
      <w:lvlJc w:val="left"/>
      <w:pPr>
        <w:ind w:left="720" w:hanging="360"/>
      </w:pPr>
      <w:rPr>
        <w:rFont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70BA"/>
    <w:rsid w:val="00275660"/>
    <w:rsid w:val="007C70BA"/>
    <w:rsid w:val="008D4CD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70B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70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10.2196/16480" TargetMode="External"/><Relationship Id="rId3" Type="http://schemas.microsoft.com/office/2007/relationships/stylesWithEffects" Target="stylesWithEffects.xml"/><Relationship Id="rId7" Type="http://schemas.openxmlformats.org/officeDocument/2006/relationships/hyperlink" Target="10.1016/s0304-3959(01)00314-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10.2196/mhealth.5659"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693</Words>
  <Characters>3953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2022-12-21T04:15:00Z</dcterms:created>
  <dcterms:modified xsi:type="dcterms:W3CDTF">2022-12-21T04:25:00Z</dcterms:modified>
</cp:coreProperties>
</file>