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The</w:t>
      </w:r>
      <w:r>
        <w:rPr>
          <w:spacing w:val="-2"/>
        </w:rPr>
        <w:t> </w:t>
      </w:r>
      <w:r>
        <w:rPr/>
        <w:t>role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skin</w:t>
      </w:r>
      <w:r>
        <w:rPr>
          <w:spacing w:val="-5"/>
        </w:rPr>
        <w:t> </w:t>
      </w:r>
      <w:r>
        <w:rPr/>
        <w:t>biofilm</w:t>
      </w:r>
      <w:r>
        <w:rPr>
          <w:spacing w:val="1"/>
        </w:rPr>
        <w:t> </w:t>
      </w:r>
      <w:r>
        <w:rPr/>
        <w:t>in</w:t>
      </w:r>
      <w:r>
        <w:rPr>
          <w:spacing w:val="-5"/>
        </w:rPr>
        <w:t> </w:t>
      </w:r>
      <w:r>
        <w:rPr/>
        <w:t>pathogenesis of</w:t>
      </w:r>
      <w:r>
        <w:rPr>
          <w:spacing w:val="-5"/>
        </w:rPr>
        <w:t> </w:t>
      </w:r>
      <w:r>
        <w:rPr/>
        <w:t>atopic</w:t>
      </w:r>
      <w:r>
        <w:rPr>
          <w:spacing w:val="-2"/>
        </w:rPr>
        <w:t> </w:t>
      </w:r>
      <w:r>
        <w:rPr/>
        <w:t>dermatitis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3"/>
        <w:rPr>
          <w:b/>
          <w:sz w:val="43"/>
        </w:rPr>
      </w:pPr>
    </w:p>
    <w:p>
      <w:pPr>
        <w:pStyle w:val="Heading1"/>
        <w:spacing w:before="1"/>
      </w:pPr>
      <w:r>
        <w:rPr/>
        <w:t>Background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ind w:left="115" w:right="118"/>
        <w:jc w:val="both"/>
      </w:pPr>
      <w:r>
        <w:rPr/>
        <w:t>Atopic dermatitis is a chronic, multifactorial, relapsing inflammatory skin condition which is</w:t>
      </w:r>
      <w:r>
        <w:rPr>
          <w:spacing w:val="1"/>
        </w:rPr>
        <w:t> </w:t>
      </w:r>
      <w:r>
        <w:rPr/>
        <w:t>one of the main known health problem worldwide. Atopic dermatitis lesions are frequently</w:t>
      </w:r>
      <w:r>
        <w:rPr>
          <w:spacing w:val="1"/>
        </w:rPr>
        <w:t> </w:t>
      </w:r>
      <w:r>
        <w:rPr/>
        <w:t>colonized by </w:t>
      </w:r>
      <w:r>
        <w:rPr>
          <w:i/>
        </w:rPr>
        <w:t>Staphylococcus aureus </w:t>
      </w:r>
      <w:r>
        <w:rPr/>
        <w:t>and </w:t>
      </w:r>
      <w:r>
        <w:rPr>
          <w:i/>
        </w:rPr>
        <w:t>Staphylococcus epidermidis</w:t>
      </w:r>
      <w:r>
        <w:rPr/>
        <w:t>. Their susceptibility to</w:t>
      </w:r>
      <w:r>
        <w:rPr>
          <w:spacing w:val="1"/>
        </w:rPr>
        <w:t> </w:t>
      </w:r>
      <w:r>
        <w:rPr/>
        <w:t>form biofilms, ability to form adhesive skin colonies which lead to extremely resistant to</w:t>
      </w:r>
      <w:r>
        <w:rPr>
          <w:spacing w:val="1"/>
        </w:rPr>
        <w:t> </w:t>
      </w:r>
      <w:r>
        <w:rPr/>
        <w:t>antibiotics and immune responses. Formation of skin Biofilm resulted in complex bacterial</w:t>
      </w:r>
      <w:r>
        <w:rPr>
          <w:spacing w:val="1"/>
        </w:rPr>
        <w:t> </w:t>
      </w:r>
      <w:r>
        <w:rPr/>
        <w:t>communities that have unique effects on human keratinocytes, mouse fibroblasts and host</w:t>
      </w:r>
      <w:r>
        <w:rPr>
          <w:spacing w:val="1"/>
        </w:rPr>
        <w:t> </w:t>
      </w:r>
      <w:r>
        <w:rPr/>
        <w:t>immunity.</w:t>
      </w:r>
    </w:p>
    <w:p>
      <w:pPr>
        <w:pStyle w:val="BodyText"/>
        <w:spacing w:before="10"/>
      </w:pPr>
    </w:p>
    <w:p>
      <w:pPr>
        <w:pStyle w:val="Heading1"/>
      </w:pPr>
      <w:r>
        <w:rPr/>
        <w:t>Aims:</w:t>
      </w:r>
    </w:p>
    <w:p>
      <w:pPr>
        <w:pStyle w:val="BodyText"/>
        <w:rPr>
          <w:b/>
        </w:rPr>
      </w:pPr>
    </w:p>
    <w:p>
      <w:pPr>
        <w:pStyle w:val="BodyText"/>
        <w:ind w:left="115" w:right="122"/>
        <w:jc w:val="both"/>
      </w:pPr>
      <w:r>
        <w:rPr/>
        <w:t>The</w:t>
      </w:r>
      <w:r>
        <w:rPr>
          <w:spacing w:val="-10"/>
        </w:rPr>
        <w:t> </w:t>
      </w:r>
      <w:r>
        <w:rPr/>
        <w:t>aims</w:t>
      </w:r>
      <w:r>
        <w:rPr>
          <w:spacing w:val="-11"/>
        </w:rPr>
        <w:t> </w:t>
      </w:r>
      <w:r>
        <w:rPr/>
        <w:t>of</w:t>
      </w:r>
      <w:r>
        <w:rPr>
          <w:spacing w:val="-7"/>
        </w:rPr>
        <w:t> </w:t>
      </w:r>
      <w:r>
        <w:rPr/>
        <w:t>this</w:t>
      </w:r>
      <w:r>
        <w:rPr>
          <w:spacing w:val="-11"/>
        </w:rPr>
        <w:t> </w:t>
      </w:r>
      <w:r>
        <w:rPr/>
        <w:t>study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confirm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specificity</w:t>
      </w:r>
      <w:r>
        <w:rPr>
          <w:spacing w:val="-9"/>
        </w:rPr>
        <w:t> </w:t>
      </w:r>
      <w:r>
        <w:rPr/>
        <w:t>of</w:t>
      </w:r>
      <w:r>
        <w:rPr>
          <w:spacing w:val="-12"/>
        </w:rPr>
        <w:t> </w:t>
      </w:r>
      <w:r>
        <w:rPr>
          <w:i/>
        </w:rPr>
        <w:t>S.</w:t>
      </w:r>
      <w:r>
        <w:rPr>
          <w:i/>
          <w:spacing w:val="-6"/>
        </w:rPr>
        <w:t> </w:t>
      </w:r>
      <w:r>
        <w:rPr>
          <w:i/>
        </w:rPr>
        <w:t>aureus</w:t>
      </w:r>
      <w:r>
        <w:rPr>
          <w:i/>
          <w:spacing w:val="-11"/>
        </w:rPr>
        <w:t> </w:t>
      </w:r>
      <w:r>
        <w:rPr/>
        <w:t>or</w:t>
      </w:r>
      <w:r>
        <w:rPr>
          <w:spacing w:val="-7"/>
        </w:rPr>
        <w:t> </w:t>
      </w:r>
      <w:r>
        <w:rPr/>
        <w:t>its</w:t>
      </w:r>
      <w:r>
        <w:rPr>
          <w:spacing w:val="-11"/>
        </w:rPr>
        <w:t> </w:t>
      </w:r>
      <w:r>
        <w:rPr/>
        <w:t>secreted</w:t>
      </w:r>
      <w:r>
        <w:rPr>
          <w:spacing w:val="-9"/>
        </w:rPr>
        <w:t> </w:t>
      </w:r>
      <w:r>
        <w:rPr/>
        <w:t>factors</w:t>
      </w:r>
      <w:r>
        <w:rPr>
          <w:spacing w:val="-11"/>
        </w:rPr>
        <w:t> </w:t>
      </w:r>
      <w:r>
        <w:rPr/>
        <w:t>in</w:t>
      </w:r>
      <w:r>
        <w:rPr>
          <w:spacing w:val="-9"/>
        </w:rPr>
        <w:t> </w:t>
      </w:r>
      <w:r>
        <w:rPr/>
        <w:t>induction</w:t>
      </w:r>
      <w:r>
        <w:rPr>
          <w:spacing w:val="-57"/>
        </w:rPr>
        <w:t> </w:t>
      </w:r>
      <w:r>
        <w:rPr/>
        <w:t>of pro-inflammatory cytokines IL-33, TSLP and toxicity on human keratinocytes and mouse</w:t>
      </w:r>
      <w:r>
        <w:rPr>
          <w:spacing w:val="1"/>
        </w:rPr>
        <w:t> </w:t>
      </w:r>
      <w:r>
        <w:rPr/>
        <w:t>fibroblast.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second</w:t>
      </w:r>
      <w:r>
        <w:rPr>
          <w:spacing w:val="-5"/>
        </w:rPr>
        <w:t> </w:t>
      </w:r>
      <w:r>
        <w:rPr/>
        <w:t>aim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study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inhibitory</w:t>
      </w:r>
      <w:r>
        <w:rPr>
          <w:spacing w:val="-5"/>
        </w:rPr>
        <w:t> </w:t>
      </w:r>
      <w:r>
        <w:rPr/>
        <w:t>effect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co-culture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>
          <w:i/>
        </w:rPr>
        <w:t>S.</w:t>
      </w:r>
      <w:r>
        <w:rPr>
          <w:i/>
          <w:spacing w:val="-3"/>
        </w:rPr>
        <w:t> </w:t>
      </w:r>
      <w:r>
        <w:rPr>
          <w:i/>
        </w:rPr>
        <w:t>epidermidis</w:t>
      </w:r>
      <w:r>
        <w:rPr>
          <w:i/>
          <w:spacing w:val="-7"/>
        </w:rPr>
        <w:t> </w:t>
      </w:r>
      <w:r>
        <w:rPr/>
        <w:t>with</w:t>
      </w:r>
      <w:r>
        <w:rPr>
          <w:spacing w:val="-5"/>
        </w:rPr>
        <w:t> </w:t>
      </w:r>
      <w:r>
        <w:rPr>
          <w:i/>
        </w:rPr>
        <w:t>S.</w:t>
      </w:r>
      <w:r>
        <w:rPr>
          <w:i/>
          <w:spacing w:val="-58"/>
        </w:rPr>
        <w:t> </w:t>
      </w:r>
      <w:r>
        <w:rPr>
          <w:i/>
        </w:rPr>
        <w:t>aureus</w:t>
      </w:r>
      <w:r>
        <w:rPr>
          <w:i/>
          <w:spacing w:val="-1"/>
        </w:rPr>
        <w:t> </w:t>
      </w:r>
      <w:r>
        <w:rPr/>
        <w:t>in</w:t>
      </w:r>
      <w:r>
        <w:rPr>
          <w:spacing w:val="2"/>
        </w:rPr>
        <w:t> </w:t>
      </w:r>
      <w:r>
        <w:rPr/>
        <w:t>term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production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pro-inflammatory</w:t>
      </w:r>
      <w:r>
        <w:rPr>
          <w:spacing w:val="-8"/>
        </w:rPr>
        <w:t> </w:t>
      </w:r>
      <w:r>
        <w:rPr/>
        <w:t>cytokines and</w:t>
      </w:r>
      <w:r>
        <w:rPr>
          <w:spacing w:val="1"/>
        </w:rPr>
        <w:t> </w:t>
      </w:r>
      <w:r>
        <w:rPr/>
        <w:t>toxicity.</w:t>
      </w:r>
    </w:p>
    <w:p>
      <w:pPr>
        <w:pStyle w:val="BodyText"/>
        <w:spacing w:before="7"/>
      </w:pPr>
    </w:p>
    <w:p>
      <w:pPr>
        <w:pStyle w:val="Heading1"/>
        <w:spacing w:before="1"/>
      </w:pPr>
      <w:r>
        <w:rPr/>
        <w:t>Method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materials: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115" w:right="116"/>
        <w:jc w:val="both"/>
      </w:pPr>
      <w:r>
        <w:rPr/>
        <w:t>Human epidermal keratinocytes and mouse embryonic fibroblasts cell lines from 3T3 were</w:t>
      </w:r>
      <w:r>
        <w:rPr>
          <w:spacing w:val="1"/>
        </w:rPr>
        <w:t> </w:t>
      </w:r>
      <w:r>
        <w:rPr/>
        <w:t>used</w:t>
      </w:r>
      <w:r>
        <w:rPr>
          <w:spacing w:val="-11"/>
        </w:rPr>
        <w:t> </w:t>
      </w:r>
      <w:r>
        <w:rPr/>
        <w:t>as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control</w:t>
      </w:r>
      <w:r>
        <w:rPr>
          <w:spacing w:val="-10"/>
        </w:rPr>
        <w:t> </w:t>
      </w:r>
      <w:r>
        <w:rPr/>
        <w:t>strain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examine</w:t>
      </w:r>
      <w:r>
        <w:rPr>
          <w:spacing w:val="-12"/>
        </w:rPr>
        <w:t> </w:t>
      </w:r>
      <w:r>
        <w:rPr/>
        <w:t>production</w:t>
      </w:r>
      <w:r>
        <w:rPr>
          <w:spacing w:val="-10"/>
        </w:rPr>
        <w:t> </w:t>
      </w:r>
      <w:r>
        <w:rPr/>
        <w:t>of</w:t>
      </w:r>
      <w:r>
        <w:rPr>
          <w:spacing w:val="-13"/>
        </w:rPr>
        <w:t> </w:t>
      </w:r>
      <w:r>
        <w:rPr/>
        <w:t>inflammatory</w:t>
      </w:r>
      <w:r>
        <w:rPr>
          <w:spacing w:val="-11"/>
        </w:rPr>
        <w:t> </w:t>
      </w:r>
      <w:r>
        <w:rPr/>
        <w:t>response</w:t>
      </w:r>
      <w:r>
        <w:rPr>
          <w:spacing w:val="-11"/>
        </w:rPr>
        <w:t> </w:t>
      </w:r>
      <w:r>
        <w:rPr/>
        <w:t>(IL-33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TSLP)</w:t>
      </w:r>
      <w:r>
        <w:rPr>
          <w:spacing w:val="-14"/>
        </w:rPr>
        <w:t> </w:t>
      </w:r>
      <w:r>
        <w:rPr/>
        <w:t>and</w:t>
      </w:r>
      <w:r>
        <w:rPr>
          <w:spacing w:val="-57"/>
        </w:rPr>
        <w:t> </w:t>
      </w:r>
      <w:r>
        <w:rPr/>
        <w:t>cell death induced by </w:t>
      </w:r>
      <w:r>
        <w:rPr>
          <w:i/>
        </w:rPr>
        <w:t>S. aureus </w:t>
      </w:r>
      <w:r>
        <w:rPr/>
        <w:t>in the presence and absence of </w:t>
      </w:r>
      <w:r>
        <w:rPr>
          <w:i/>
        </w:rPr>
        <w:t>S. epidermidis</w:t>
      </w:r>
      <w:r>
        <w:rPr/>
        <w:t>. TSLP and IL-</w:t>
      </w:r>
      <w:r>
        <w:rPr>
          <w:spacing w:val="1"/>
        </w:rPr>
        <w:t> </w:t>
      </w:r>
      <w:r>
        <w:rPr/>
        <w:t>33 were detected by ELISA and the apoptosis of </w:t>
      </w:r>
      <w:r>
        <w:rPr>
          <w:i/>
        </w:rPr>
        <w:t>S. aureus </w:t>
      </w:r>
      <w:r>
        <w:rPr/>
        <w:t>and </w:t>
      </w:r>
      <w:r>
        <w:rPr>
          <w:i/>
        </w:rPr>
        <w:t>S. epidermidis </w:t>
      </w:r>
      <w:r>
        <w:rPr/>
        <w:t>on these cells</w:t>
      </w:r>
      <w:r>
        <w:rPr>
          <w:spacing w:val="1"/>
        </w:rPr>
        <w:t> </w:t>
      </w:r>
      <w:r>
        <w:rPr/>
        <w:t>was</w:t>
      </w:r>
      <w:r>
        <w:rPr>
          <w:spacing w:val="-1"/>
        </w:rPr>
        <w:t> </w:t>
      </w:r>
      <w:r>
        <w:rPr/>
        <w:t>evaluated</w:t>
      </w:r>
      <w:r>
        <w:rPr>
          <w:spacing w:val="2"/>
        </w:rPr>
        <w:t> </w:t>
      </w:r>
      <w:r>
        <w:rPr/>
        <w:t>by</w:t>
      </w:r>
      <w:r>
        <w:rPr>
          <w:spacing w:val="2"/>
        </w:rPr>
        <w:t> </w:t>
      </w:r>
      <w:r>
        <w:rPr/>
        <w:t>flow</w:t>
      </w:r>
      <w:r>
        <w:rPr>
          <w:spacing w:val="1"/>
        </w:rPr>
        <w:t> </w:t>
      </w:r>
      <w:r>
        <w:rPr/>
        <w:t>cytometry.</w:t>
      </w:r>
    </w:p>
    <w:p>
      <w:pPr>
        <w:pStyle w:val="BodyText"/>
        <w:spacing w:before="10"/>
      </w:pPr>
    </w:p>
    <w:p>
      <w:pPr>
        <w:pStyle w:val="Heading1"/>
      </w:pPr>
      <w:r>
        <w:rPr/>
        <w:t>Result:</w:t>
      </w:r>
    </w:p>
    <w:p>
      <w:pPr>
        <w:pStyle w:val="BodyText"/>
        <w:rPr>
          <w:b/>
        </w:rPr>
      </w:pPr>
    </w:p>
    <w:p>
      <w:pPr>
        <w:pStyle w:val="BodyText"/>
        <w:ind w:left="115" w:right="118"/>
        <w:jc w:val="both"/>
      </w:pPr>
      <w:r>
        <w:rPr/>
        <w:t>Recent findings propose the important role of skin biofilms in the pathogenesis of atopic</w:t>
      </w:r>
      <w:r>
        <w:rPr>
          <w:spacing w:val="1"/>
        </w:rPr>
        <w:t> </w:t>
      </w:r>
      <w:r>
        <w:rPr/>
        <w:t>dermatitis. </w:t>
      </w:r>
      <w:r>
        <w:rPr>
          <w:i/>
        </w:rPr>
        <w:t>S. aureus </w:t>
      </w:r>
      <w:r>
        <w:rPr/>
        <w:t>have been found to induce secretion of pro-inflammatory cytokines and</w:t>
      </w:r>
      <w:r>
        <w:rPr>
          <w:spacing w:val="1"/>
        </w:rPr>
        <w:t> </w:t>
      </w:r>
      <w:r>
        <w:rPr/>
        <w:t>cause apoptosis of human keratinocytes and mouse fibroblasts. Presence of </w:t>
      </w:r>
      <w:r>
        <w:rPr>
          <w:i/>
        </w:rPr>
        <w:t>S. epidermidis </w:t>
      </w:r>
      <w:r>
        <w:rPr/>
        <w:t>as</w:t>
      </w:r>
      <w:r>
        <w:rPr>
          <w:spacing w:val="1"/>
        </w:rPr>
        <w:t> </w:t>
      </w:r>
      <w:r>
        <w:rPr/>
        <w:t>skin biofilm found to protects the human keratinocytes and mouse fibroblasts from induction</w:t>
      </w:r>
      <w:r>
        <w:rPr>
          <w:spacing w:val="1"/>
        </w:rPr>
        <w:t> </w:t>
      </w:r>
      <w:r>
        <w:rPr/>
        <w:t>of</w:t>
      </w:r>
      <w:r>
        <w:rPr>
          <w:spacing w:val="3"/>
        </w:rPr>
        <w:t> </w:t>
      </w:r>
      <w:r>
        <w:rPr/>
        <w:t>pro-inflammatory</w:t>
      </w:r>
      <w:r>
        <w:rPr>
          <w:spacing w:val="-3"/>
        </w:rPr>
        <w:t> </w:t>
      </w:r>
      <w:r>
        <w:rPr/>
        <w:t>cytokines and</w:t>
      </w:r>
      <w:r>
        <w:rPr>
          <w:spacing w:val="2"/>
        </w:rPr>
        <w:t> </w:t>
      </w:r>
      <w:r>
        <w:rPr/>
        <w:t>cytotoxicity.</w:t>
      </w:r>
    </w:p>
    <w:p>
      <w:pPr>
        <w:pStyle w:val="BodyText"/>
        <w:spacing w:before="9"/>
      </w:pPr>
    </w:p>
    <w:p>
      <w:pPr>
        <w:pStyle w:val="BodyText"/>
        <w:spacing w:line="276" w:lineRule="auto" w:before="1"/>
        <w:ind w:left="115" w:right="117"/>
        <w:jc w:val="both"/>
        <w:rPr>
          <w:i/>
        </w:rPr>
      </w:pPr>
      <w:r>
        <w:rPr/>
        <w:pict>
          <v:group style="position:absolute;margin-left:155.587997pt;margin-top:104.626129pt;width:274.850pt;height:37.65pt;mso-position-horizontal-relative:page;mso-position-vertical-relative:paragraph;z-index:15728640" coordorigin="3112,2093" coordsize="5497,753">
            <v:rect style="position:absolute;left:3121;top:2102;width:5477;height:733" filled="false" stroked="true" strokeweight="1pt" strokecolor="#ff0000">
              <v:stroke dashstyl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3111;top:2092;width:5497;height:753" type="#_x0000_t202" fillcolor="#ffffff" stroked="true" strokeweight="1pt" strokecolor="#000000">
              <v:textbox inset="0,0,0,0">
                <w:txbxContent>
                  <w:p>
                    <w:pPr>
                      <w:spacing w:line="249" w:lineRule="auto" w:before="4"/>
                      <w:ind w:left="40" w:right="245" w:firstLine="0"/>
                      <w:jc w:val="left"/>
                      <w:rPr>
                        <w:rFonts w:ascii="Arial MT" w:hAnsi="Arial MT"/>
                        <w:sz w:val="24"/>
                      </w:rPr>
                    </w:pP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Department of Clinical Microbiology and</w:t>
                    </w:r>
                    <w:r>
                      <w:rPr>
                        <w:rFonts w:ascii="Arial MT" w:hAnsi="Arial MT"/>
                        <w:color w:val="FF0000"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Parasitology,</w:t>
                    </w:r>
                    <w:r>
                      <w:rPr>
                        <w:rFonts w:ascii="Arial MT" w:hAnsi="Arial MT"/>
                        <w:color w:val="FF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King</w:t>
                    </w:r>
                    <w:r>
                      <w:rPr>
                        <w:rFonts w:ascii="Arial MT" w:hAnsi="Arial MT"/>
                        <w:color w:val="FF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Khalid</w:t>
                    </w:r>
                    <w:r>
                      <w:rPr>
                        <w:rFonts w:ascii="Arial MT" w:hAnsi="Arial MT"/>
                        <w:color w:val="FF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University</w:t>
                    </w:r>
                    <w:r>
                      <w:rPr>
                        <w:rFonts w:ascii="Arial MT" w:hAnsi="Arial MT"/>
                        <w:color w:val="FF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·</w:t>
                    </w:r>
                    <w:r>
                      <w:rPr>
                        <w:rFonts w:ascii="Arial MT" w:hAnsi="Arial MT"/>
                        <w:color w:val="FF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Abha,</w:t>
                    </w:r>
                    <w:r>
                      <w:rPr>
                        <w:rFonts w:ascii="Arial MT" w:hAnsi="Arial MT"/>
                        <w:color w:val="FF0000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 MT" w:hAnsi="Arial MT"/>
                        <w:color w:val="FF0000"/>
                        <w:sz w:val="24"/>
                      </w:rPr>
                      <w:t>SAU</w:t>
                    </w:r>
                  </w:p>
                </w:txbxContent>
              </v:textbox>
              <v:fill opacity="45875f" type="gradient"/>
              <v:stroke dashstyle="dash"/>
              <w10:wrap type="none"/>
            </v:shape>
            <w10:wrap type="none"/>
          </v:group>
        </w:pict>
      </w:r>
      <w:r>
        <w:rPr>
          <w:b/>
        </w:rPr>
        <w:t>Conclusions</w:t>
      </w:r>
      <w:r>
        <w:rPr>
          <w:b/>
          <w:spacing w:val="-12"/>
        </w:rPr>
        <w:t> </w:t>
      </w:r>
      <w:r>
        <w:rPr>
          <w:b/>
        </w:rPr>
        <w:t>and</w:t>
      </w:r>
      <w:r>
        <w:rPr>
          <w:b/>
          <w:spacing w:val="-10"/>
        </w:rPr>
        <w:t> </w:t>
      </w:r>
      <w:r>
        <w:rPr>
          <w:b/>
        </w:rPr>
        <w:t>future</w:t>
      </w:r>
      <w:r>
        <w:rPr>
          <w:b/>
          <w:spacing w:val="-11"/>
        </w:rPr>
        <w:t> </w:t>
      </w:r>
      <w:r>
        <w:rPr>
          <w:b/>
        </w:rPr>
        <w:t>work</w:t>
      </w:r>
      <w:r>
        <w:rPr/>
        <w:t>:</w:t>
      </w:r>
      <w:r>
        <w:rPr>
          <w:spacing w:val="-9"/>
        </w:rPr>
        <w:t> </w:t>
      </w:r>
      <w:r>
        <w:rPr>
          <w:i/>
        </w:rPr>
        <w:t>S.</w:t>
      </w:r>
      <w:r>
        <w:rPr>
          <w:i/>
          <w:spacing w:val="-7"/>
        </w:rPr>
        <w:t> </w:t>
      </w:r>
      <w:r>
        <w:rPr>
          <w:i/>
        </w:rPr>
        <w:t>aureus</w:t>
      </w:r>
      <w:r>
        <w:rPr>
          <w:i/>
          <w:spacing w:val="-12"/>
        </w:rPr>
        <w:t> </w:t>
      </w:r>
      <w:r>
        <w:rPr/>
        <w:t>are</w:t>
      </w:r>
      <w:r>
        <w:rPr>
          <w:spacing w:val="-11"/>
        </w:rPr>
        <w:t> </w:t>
      </w:r>
      <w:r>
        <w:rPr/>
        <w:t>essential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/>
        <w:t>production</w:t>
      </w:r>
      <w:r>
        <w:rPr>
          <w:spacing w:val="-10"/>
        </w:rPr>
        <w:t> </w:t>
      </w:r>
      <w:r>
        <w:rPr/>
        <w:t>of</w:t>
      </w:r>
      <w:r>
        <w:rPr>
          <w:spacing w:val="-13"/>
        </w:rPr>
        <w:t> </w:t>
      </w:r>
      <w:r>
        <w:rPr/>
        <w:t>inflammatory</w:t>
      </w:r>
      <w:r>
        <w:rPr>
          <w:spacing w:val="-14"/>
        </w:rPr>
        <w:t> </w:t>
      </w:r>
      <w:r>
        <w:rPr/>
        <w:t>response</w:t>
      </w:r>
      <w:r>
        <w:rPr>
          <w:spacing w:val="-57"/>
        </w:rPr>
        <w:t> </w:t>
      </w:r>
      <w:r>
        <w:rPr/>
        <w:t>and cell death of mouse fibroblasts and human keratinocytes. Future work will be carried out</w:t>
      </w:r>
      <w:r>
        <w:rPr>
          <w:spacing w:val="1"/>
        </w:rPr>
        <w:t> </w:t>
      </w:r>
      <w:r>
        <w:rPr/>
        <w:t>to identify the soluble factors that responsible in induction of pro-inflammatory cytokines. In</w:t>
      </w:r>
      <w:r>
        <w:rPr>
          <w:spacing w:val="1"/>
        </w:rPr>
        <w:t> </w:t>
      </w:r>
      <w:r>
        <w:rPr/>
        <w:t>addition,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studies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needed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able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understand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mechanism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how</w:t>
      </w:r>
      <w:r>
        <w:rPr>
          <w:spacing w:val="1"/>
        </w:rPr>
        <w:t> </w:t>
      </w:r>
      <w:r>
        <w:rPr>
          <w:i/>
        </w:rPr>
        <w:t>S.</w:t>
      </w:r>
      <w:r>
        <w:rPr>
          <w:i/>
          <w:spacing w:val="1"/>
        </w:rPr>
        <w:t> </w:t>
      </w:r>
      <w:r>
        <w:rPr>
          <w:i/>
        </w:rPr>
        <w:t>epidermidis</w:t>
      </w:r>
      <w:r>
        <w:rPr>
          <w:i/>
          <w:spacing w:val="-1"/>
        </w:rPr>
        <w:t> </w:t>
      </w:r>
      <w:r>
        <w:rPr/>
        <w:t>reduce the induction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cytotoxicity</w:t>
      </w:r>
      <w:r>
        <w:rPr>
          <w:spacing w:val="-4"/>
        </w:rPr>
        <w:t> </w:t>
      </w:r>
      <w:r>
        <w:rPr/>
        <w:t>caused</w:t>
      </w:r>
      <w:r>
        <w:rPr>
          <w:spacing w:val="2"/>
        </w:rPr>
        <w:t> </w:t>
      </w:r>
      <w:r>
        <w:rPr/>
        <w:t>by</w:t>
      </w:r>
      <w:r>
        <w:rPr>
          <w:spacing w:val="1"/>
        </w:rPr>
        <w:t> </w:t>
      </w:r>
      <w:r>
        <w:rPr>
          <w:i/>
        </w:rPr>
        <w:t>S.</w:t>
      </w:r>
      <w:r>
        <w:rPr>
          <w:i/>
          <w:spacing w:val="3"/>
        </w:rPr>
        <w:t> </w:t>
      </w:r>
      <w:r>
        <w:rPr>
          <w:i/>
        </w:rPr>
        <w:t>aureus.</w:t>
      </w:r>
    </w:p>
    <w:sectPr>
      <w:type w:val="continuous"/>
      <w:pgSz w:w="11900" w:h="16840"/>
      <w:pgMar w:top="1380" w:bottom="280" w:left="134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3"/>
      <w:ind w:left="1091" w:right="1051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 for CIS 2020.docx</dc:title>
  <dcterms:created xsi:type="dcterms:W3CDTF">2022-12-17T06:12:11Z</dcterms:created>
  <dcterms:modified xsi:type="dcterms:W3CDTF">2022-12-17T06:12:11Z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2020-01-19T00:00:00Z</vt:filetime>
  </property>
  <property fmtid="{D5CDD505-2E9C-101B-9397-08002B2CF9AE}" pid="3" name="Creator">
    <vt:lpwstr>Word</vt:lpwstr>
  </property>
  <property fmtid="{D5CDD505-2E9C-101B-9397-08002B2CF9AE}" pid="4" name="LastSaved">
    <vt:filetime>2022-12-17T00:00:00Z</vt:filetime>
  </property>
</Properties>
</file>