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95D64" w:rsidRPr="00857BF6" w:rsidRDefault="00A95D64" w:rsidP="00A95D64">
      <w:pPr>
        <w:spacing w:line="360" w:lineRule="auto"/>
        <w:jc w:val="both"/>
        <w:rPr>
          <w:rFonts w:ascii="Times New Roman" w:hAnsi="Times New Roman" w:cs="Times New Roman"/>
          <w:b/>
          <w:sz w:val="24"/>
        </w:rPr>
      </w:pPr>
      <w:bookmarkStart w:id="0" w:name="_GoBack"/>
      <w:bookmarkEnd w:id="0"/>
      <w:r w:rsidRPr="00857BF6">
        <w:rPr>
          <w:rFonts w:ascii="Times New Roman" w:hAnsi="Times New Roman" w:cs="Times New Roman"/>
          <w:b/>
          <w:sz w:val="24"/>
        </w:rPr>
        <w:t xml:space="preserve">Magnitude of mortality and its associated factors among Burn victim children admitted to South Gondar zone government hospitals, Ethiopia, from 2015 to 2019 </w:t>
      </w:r>
    </w:p>
    <w:p w:rsidR="00A95D64" w:rsidRDefault="00A95D64" w:rsidP="00A95D64">
      <w:pPr>
        <w:spacing w:line="360" w:lineRule="auto"/>
        <w:jc w:val="both"/>
        <w:rPr>
          <w:rFonts w:ascii="Times New Roman" w:hAnsi="Times New Roman" w:cs="Times New Roman"/>
          <w:sz w:val="24"/>
          <w:szCs w:val="24"/>
        </w:rPr>
      </w:pPr>
      <w:r>
        <w:t>Chalie Marew Tiruneh, Department of Pediatrics and Child Health Nursing, College of Health Sciences, Debre Tabor University, Debre Tabor, Ethiopia</w:t>
      </w:r>
    </w:p>
    <w:p w:rsidR="00A95D64" w:rsidRPr="00A95D64" w:rsidRDefault="00A95D64" w:rsidP="00A95D64">
      <w:pPr>
        <w:spacing w:line="360" w:lineRule="auto"/>
        <w:jc w:val="both"/>
        <w:rPr>
          <w:rFonts w:ascii="Times New Roman" w:hAnsi="Times New Roman" w:cs="Times New Roman"/>
          <w:sz w:val="24"/>
          <w:szCs w:val="24"/>
        </w:rPr>
      </w:pPr>
      <w:r w:rsidRPr="00A95D64">
        <w:rPr>
          <w:rFonts w:ascii="Times New Roman" w:hAnsi="Times New Roman" w:cs="Times New Roman"/>
          <w:sz w:val="24"/>
          <w:szCs w:val="24"/>
        </w:rPr>
        <w:t xml:space="preserve">Abstracts </w:t>
      </w:r>
    </w:p>
    <w:p w:rsidR="008E6C4A" w:rsidRPr="00A95D64" w:rsidRDefault="00A95D64" w:rsidP="00A95D64">
      <w:pPr>
        <w:spacing w:line="360" w:lineRule="auto"/>
        <w:jc w:val="both"/>
        <w:rPr>
          <w:rFonts w:ascii="Times New Roman" w:hAnsi="Times New Roman" w:cs="Times New Roman"/>
          <w:sz w:val="24"/>
          <w:szCs w:val="24"/>
        </w:rPr>
      </w:pPr>
      <w:r w:rsidRPr="00A95D64">
        <w:rPr>
          <w:rFonts w:ascii="Times New Roman" w:hAnsi="Times New Roman" w:cs="Times New Roman"/>
          <w:sz w:val="24"/>
          <w:szCs w:val="24"/>
        </w:rPr>
        <w:t>Background: Burn is one of the leading causes of preventable death and disability every year in low and middleincome countries, which mainly affects those aged less than 15 years. Death from burn injuries carries the most significant losses, which often have grave consequences for the countries. Even though data from different settings are necessary to tackle it, pieces of evidence in this area are limited. Thus, this study was aimed to answer the question, what is the Magnitude of Mortality? And what are the factors associated with mortality among burn victim children admitted to South Gondar Zone Government Hospitals, Ethiopia, from 2015 to 2019? Methods: Institutional-based cross-sectional study design was used to study 348 hospitalized burn victim pediatrics’, from 2015 to 2019. A simple random sampling method was used. Data were exported from Epidata to SPSS version 23 for analysis. Significant of the variables were declared when a p-value is &lt; 0.05. Result: The mortality rate of burn victim children in this study was 8.5% (95% CI = 5.5–11.4). Medical insurance none users burn victim children were more likely (AOR 3.700; 95% CI =1.2–11.5) to die as compared with medical insurance users, burn victim children with malnutrition were more risk (AOR 3.9; 95% CI = 1.3–12.2) of mortality as compared with well-nourished child. Moreover, electrical (AOR 7.7; 95% CI = 1.8–32.5.2) and flame burn (AOR 3.3; 95% CI = 1.2–9.0), total body surface area greater than 20% of burn were more likely (AOR 4.6; 95% CI 1.8–11.8) to die compared to less than 20% burn area and burn victim children admitted with poor clinical condition at admission were four times (AOR 4.1, 95% CI = 1.3–12.0) of mortality compared to a good clinical condition.</w:t>
      </w:r>
    </w:p>
    <w:p w:rsidR="00A95D64" w:rsidRDefault="00A95D64" w:rsidP="00A95D64">
      <w:pPr>
        <w:spacing w:line="360" w:lineRule="auto"/>
        <w:jc w:val="both"/>
        <w:rPr>
          <w:rFonts w:ascii="Times New Roman" w:hAnsi="Times New Roman" w:cs="Times New Roman"/>
          <w:sz w:val="24"/>
          <w:szCs w:val="24"/>
        </w:rPr>
      </w:pPr>
      <w:r w:rsidRPr="00A95D64">
        <w:rPr>
          <w:rFonts w:ascii="Times New Roman" w:hAnsi="Times New Roman" w:cs="Times New Roman"/>
          <w:sz w:val="24"/>
          <w:szCs w:val="24"/>
        </w:rPr>
        <w:t xml:space="preserve">Conclusion: The mortality among burn victim children was higher than most of the studies conducted all over the world. Medical insurance none users, being malnourished, burned by electrical and flame burn, having total body surface area burnt greater than 20%, and having poor clinical condition at addition were significantly associated with mortality of burn victim </w:t>
      </w:r>
      <w:r w:rsidRPr="00A95D64">
        <w:rPr>
          <w:rFonts w:ascii="Times New Roman" w:hAnsi="Times New Roman" w:cs="Times New Roman"/>
          <w:sz w:val="24"/>
          <w:szCs w:val="24"/>
        </w:rPr>
        <w:lastRenderedPageBreak/>
        <w:t>pediatrics. Therefore, timely identification and monitoring of burn injury should be necessary to prevent mortality of burn victim pediatrics.</w:t>
      </w:r>
    </w:p>
    <w:p w:rsidR="00A95D64" w:rsidRPr="00A95D64" w:rsidRDefault="00A95D64" w:rsidP="00A95D64">
      <w:pPr>
        <w:spacing w:line="360" w:lineRule="auto"/>
        <w:jc w:val="both"/>
        <w:rPr>
          <w:rFonts w:ascii="Times New Roman" w:hAnsi="Times New Roman" w:cs="Times New Roman"/>
          <w:b/>
          <w:sz w:val="24"/>
          <w:szCs w:val="24"/>
        </w:rPr>
      </w:pPr>
      <w:r w:rsidRPr="00A95D64">
        <w:rPr>
          <w:rFonts w:ascii="Times New Roman" w:hAnsi="Times New Roman" w:cs="Times New Roman"/>
          <w:b/>
          <w:sz w:val="24"/>
          <w:szCs w:val="24"/>
        </w:rPr>
        <w:t>Recent publication</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173"/>
      </w:tblGrid>
      <w:tr w:rsidR="00A95D64" w:rsidRPr="00F70BE7" w:rsidTr="001D2A9B">
        <w:trPr>
          <w:trHeight w:val="707"/>
        </w:trPr>
        <w:tc>
          <w:tcPr>
            <w:tcW w:w="10173" w:type="dxa"/>
          </w:tcPr>
          <w:p w:rsidR="00A95D64" w:rsidRPr="00F70BE7" w:rsidRDefault="00A95D64" w:rsidP="001D2A9B">
            <w:pPr>
              <w:tabs>
                <w:tab w:val="center" w:pos="2097"/>
              </w:tabs>
              <w:autoSpaceDE w:val="0"/>
              <w:autoSpaceDN w:val="0"/>
              <w:adjustRightInd w:val="0"/>
              <w:jc w:val="both"/>
              <w:rPr>
                <w:rFonts w:ascii="Times New Roman" w:hAnsi="Times New Roman"/>
                <w:bCs/>
                <w:color w:val="1F497D"/>
                <w:u w:val="single"/>
              </w:rPr>
            </w:pPr>
            <w:r w:rsidRPr="00F70BE7">
              <w:rPr>
                <w:rFonts w:ascii="Times New Roman" w:hAnsi="Times New Roman"/>
                <w:color w:val="000000"/>
              </w:rPr>
              <w:t xml:space="preserve">Clinical Non-Adherence and Its Associated Factors Among HIV-Positive Pediatric Patients Attending HIV Care in South Gondar Zone Public Health Facilities, Northwest Ethiopia, 2021. </w:t>
            </w:r>
            <w:r w:rsidRPr="00F70BE7">
              <w:rPr>
                <w:rFonts w:ascii="Times New Roman" w:hAnsi="Times New Roman"/>
                <w:bCs/>
              </w:rPr>
              <w:t>HIV/AIDS:</w:t>
            </w:r>
          </w:p>
          <w:p w:rsidR="00A95D64" w:rsidRPr="00F70BE7" w:rsidRDefault="00A95D64" w:rsidP="001D2A9B">
            <w:pPr>
              <w:tabs>
                <w:tab w:val="center" w:pos="2097"/>
              </w:tabs>
              <w:autoSpaceDE w:val="0"/>
              <w:autoSpaceDN w:val="0"/>
              <w:adjustRightInd w:val="0"/>
              <w:jc w:val="both"/>
              <w:rPr>
                <w:rFonts w:ascii="Times New Roman" w:hAnsi="Times New Roman"/>
              </w:rPr>
            </w:pPr>
            <w:r w:rsidRPr="00F70BE7">
              <w:rPr>
                <w:rFonts w:ascii="Times New Roman" w:hAnsi="Times New Roman"/>
                <w:color w:val="1F497D"/>
              </w:rPr>
              <w:t xml:space="preserve"> </w:t>
            </w:r>
            <w:hyperlink r:id="rId5" w:history="1">
              <w:r w:rsidRPr="00F70BE7">
                <w:rPr>
                  <w:rFonts w:ascii="Times New Roman" w:hAnsi="Times New Roman"/>
                  <w:color w:val="1F497D"/>
                  <w:u w:val="single"/>
                  <w:shd w:val="clear" w:color="auto" w:fill="FFFBBF"/>
                </w:rPr>
                <w:t>https://doi.org/10.2147/HIV.S352386</w:t>
              </w:r>
            </w:hyperlink>
            <w:r w:rsidRPr="00F70BE7">
              <w:rPr>
                <w:rFonts w:ascii="Times New Roman" w:hAnsi="Times New Roman"/>
                <w:color w:val="1F497D"/>
              </w:rPr>
              <w:t xml:space="preserve">  </w:t>
            </w:r>
          </w:p>
        </w:tc>
      </w:tr>
      <w:tr w:rsidR="00A95D64" w:rsidRPr="00F70BE7" w:rsidTr="001D2A9B">
        <w:trPr>
          <w:trHeight w:val="707"/>
        </w:trPr>
        <w:tc>
          <w:tcPr>
            <w:tcW w:w="10173" w:type="dxa"/>
          </w:tcPr>
          <w:p w:rsidR="00A95D64" w:rsidRPr="00F70BE7" w:rsidRDefault="00A95D64" w:rsidP="001D2A9B">
            <w:pPr>
              <w:jc w:val="both"/>
              <w:rPr>
                <w:rFonts w:ascii="Times New Roman" w:hAnsi="Times New Roman"/>
                <w:bCs/>
              </w:rPr>
            </w:pPr>
            <w:r w:rsidRPr="00F70BE7">
              <w:rPr>
                <w:rFonts w:ascii="Times New Roman" w:hAnsi="Times New Roman"/>
                <w:color w:val="000000"/>
              </w:rPr>
              <w:t>Knowledge on Prevention of Stroke and Its</w:t>
            </w:r>
            <w:r w:rsidRPr="00F70BE7">
              <w:rPr>
                <w:rFonts w:ascii="Times New Roman" w:hAnsi="Times New Roman"/>
                <w:color w:val="000000"/>
              </w:rPr>
              <w:br/>
              <w:t>Associated Factors Among Hypertensive Patients at Debre Tabor General Hospital: An Institution-Based Cross-Sectional Study</w:t>
            </w:r>
            <w:r w:rsidRPr="00F70BE7">
              <w:rPr>
                <w:rFonts w:ascii="Times New Roman" w:hAnsi="Times New Roman"/>
                <w:bCs/>
              </w:rPr>
              <w:t xml:space="preserve">. </w:t>
            </w:r>
          </w:p>
          <w:p w:rsidR="00A95D64" w:rsidRPr="00F70BE7" w:rsidRDefault="008E3A08" w:rsidP="001D2A9B">
            <w:pPr>
              <w:jc w:val="both"/>
              <w:rPr>
                <w:rFonts w:ascii="Times New Roman" w:hAnsi="Times New Roman"/>
              </w:rPr>
            </w:pPr>
            <w:hyperlink r:id="rId6" w:history="1">
              <w:r w:rsidR="00A95D64" w:rsidRPr="00F70BE7">
                <w:rPr>
                  <w:rFonts w:ascii="Times New Roman" w:hAnsi="Times New Roman"/>
                  <w:color w:val="0055A6"/>
                  <w:u w:val="single"/>
                  <w:shd w:val="clear" w:color="auto" w:fill="FFFBBF"/>
                </w:rPr>
                <w:t>https://doi.org/10.2147/RMHP.S303876</w:t>
              </w:r>
            </w:hyperlink>
          </w:p>
        </w:tc>
      </w:tr>
      <w:tr w:rsidR="00A95D64" w:rsidRPr="00F70BE7" w:rsidTr="001D2A9B">
        <w:trPr>
          <w:trHeight w:val="707"/>
        </w:trPr>
        <w:tc>
          <w:tcPr>
            <w:tcW w:w="10173" w:type="dxa"/>
          </w:tcPr>
          <w:p w:rsidR="00A95D64" w:rsidRPr="00F70BE7" w:rsidRDefault="00A95D64" w:rsidP="001D2A9B">
            <w:pPr>
              <w:shd w:val="clear" w:color="auto" w:fill="FFFFFF"/>
              <w:spacing w:before="100" w:beforeAutospacing="1"/>
              <w:jc w:val="both"/>
              <w:rPr>
                <w:rFonts w:ascii="Times New Roman" w:hAnsi="Times New Roman"/>
              </w:rPr>
            </w:pPr>
            <w:r w:rsidRPr="00F70BE7">
              <w:rPr>
                <w:rFonts w:ascii="Times New Roman" w:hAnsi="Times New Roman"/>
              </w:rPr>
              <w:t>Under-nutrition and associated factors among children on ART in Southern Ethiopia: a facility-based cross-sectional study.</w:t>
            </w:r>
            <w:hyperlink r:id="rId7" w:history="1">
              <w:r w:rsidRPr="00F70BE7">
                <w:rPr>
                  <w:rFonts w:ascii="Times New Roman" w:hAnsi="Times New Roman"/>
                  <w:color w:val="004B83"/>
                  <w:u w:val="single"/>
                  <w:shd w:val="clear" w:color="auto" w:fill="FFFFFF"/>
                </w:rPr>
                <w:t>https://doi.org/10.1186/s13052-021-01154-w</w:t>
              </w:r>
            </w:hyperlink>
          </w:p>
        </w:tc>
      </w:tr>
      <w:tr w:rsidR="00A95D64" w:rsidRPr="00F70BE7" w:rsidTr="001D2A9B">
        <w:trPr>
          <w:trHeight w:val="707"/>
        </w:trPr>
        <w:tc>
          <w:tcPr>
            <w:tcW w:w="10173" w:type="dxa"/>
          </w:tcPr>
          <w:p w:rsidR="00A95D64" w:rsidRPr="00F70BE7" w:rsidRDefault="00A95D64" w:rsidP="001D2A9B">
            <w:pPr>
              <w:jc w:val="both"/>
              <w:outlineLvl w:val="0"/>
              <w:rPr>
                <w:rFonts w:ascii="Times New Roman" w:hAnsi="Times New Roman"/>
                <w:color w:val="555555"/>
              </w:rPr>
            </w:pPr>
            <w:r w:rsidRPr="00F70BE7">
              <w:rPr>
                <w:rFonts w:ascii="Times New Roman" w:hAnsi="Times New Roman"/>
                <w:bCs/>
                <w:color w:val="000000"/>
              </w:rPr>
              <w:t>Underweight and Its Associated Factors Among</w:t>
            </w:r>
            <w:r w:rsidRPr="00F70BE7">
              <w:rPr>
                <w:rFonts w:ascii="Times New Roman" w:hAnsi="Times New Roman"/>
              </w:rPr>
              <w:t xml:space="preserve"> </w:t>
            </w:r>
            <w:r w:rsidRPr="00F70BE7">
              <w:rPr>
                <w:rFonts w:ascii="Times New Roman" w:hAnsi="Times New Roman"/>
                <w:bCs/>
                <w:color w:val="000000"/>
              </w:rPr>
              <w:t>Children 6–59 Months of Age in Debre Tabor</w:t>
            </w:r>
            <w:r w:rsidRPr="00F70BE7">
              <w:rPr>
                <w:rFonts w:ascii="Times New Roman" w:hAnsi="Times New Roman"/>
              </w:rPr>
              <w:t xml:space="preserve"> </w:t>
            </w:r>
            <w:r w:rsidRPr="00F70BE7">
              <w:rPr>
                <w:rFonts w:ascii="Times New Roman" w:hAnsi="Times New Roman"/>
                <w:bCs/>
                <w:color w:val="000000"/>
              </w:rPr>
              <w:t>Town, Amhara Region of Ethiopia, 2019:</w:t>
            </w:r>
            <w:r w:rsidRPr="00F70BE7">
              <w:rPr>
                <w:rFonts w:ascii="Times New Roman" w:hAnsi="Times New Roman"/>
              </w:rPr>
              <w:t xml:space="preserve"> </w:t>
            </w:r>
            <w:r w:rsidRPr="00F70BE7">
              <w:rPr>
                <w:rFonts w:ascii="Times New Roman" w:hAnsi="Times New Roman"/>
                <w:bCs/>
                <w:color w:val="000000"/>
              </w:rPr>
              <w:t>A Community-Based Cross-Sectional Study.</w:t>
            </w:r>
            <w:r w:rsidRPr="00F70BE7">
              <w:rPr>
                <w:rFonts w:ascii="Times New Roman" w:hAnsi="Times New Roman"/>
                <w:color w:val="111111"/>
                <w:kern w:val="36"/>
              </w:rPr>
              <w:t>:</w:t>
            </w:r>
          </w:p>
          <w:p w:rsidR="00A95D64" w:rsidRPr="00F70BE7" w:rsidRDefault="008E3A08" w:rsidP="001D2A9B">
            <w:pPr>
              <w:jc w:val="both"/>
              <w:outlineLvl w:val="0"/>
              <w:rPr>
                <w:rFonts w:ascii="Times New Roman" w:hAnsi="Times New Roman"/>
                <w:i/>
                <w:color w:val="222222"/>
                <w:shd w:val="clear" w:color="auto" w:fill="FFFFFF"/>
              </w:rPr>
            </w:pPr>
            <w:hyperlink r:id="rId8" w:history="1">
              <w:r w:rsidR="00A95D64" w:rsidRPr="00F70BE7">
                <w:rPr>
                  <w:rFonts w:ascii="Times New Roman" w:hAnsi="Times New Roman"/>
                  <w:color w:val="0055A6"/>
                  <w:u w:val="single"/>
                  <w:shd w:val="clear" w:color="auto" w:fill="FFFBBF"/>
                </w:rPr>
                <w:t>https://doi.org/10.2147/PHMT.S288071</w:t>
              </w:r>
            </w:hyperlink>
          </w:p>
        </w:tc>
      </w:tr>
      <w:tr w:rsidR="00A95D64" w:rsidRPr="00F70BE7" w:rsidTr="001D2A9B">
        <w:trPr>
          <w:trHeight w:val="707"/>
        </w:trPr>
        <w:tc>
          <w:tcPr>
            <w:tcW w:w="10173" w:type="dxa"/>
          </w:tcPr>
          <w:p w:rsidR="00A95D64" w:rsidRPr="00F70BE7" w:rsidRDefault="00A95D64" w:rsidP="001D2A9B">
            <w:pPr>
              <w:shd w:val="clear" w:color="auto" w:fill="FFFFFF"/>
              <w:spacing w:before="100" w:beforeAutospacing="1"/>
              <w:jc w:val="both"/>
              <w:rPr>
                <w:rFonts w:ascii="Times New Roman" w:hAnsi="Times New Roman"/>
                <w:color w:val="000000"/>
              </w:rPr>
            </w:pPr>
            <w:r w:rsidRPr="00F70BE7">
              <w:rPr>
                <w:rFonts w:ascii="Times New Roman" w:hAnsi="Times New Roman"/>
              </w:rPr>
              <w:t>Knowledge on Stroke Warning Signs and Associated Factors Among Hypertensive Patients, Northwest Ethiopia: An Institution-Based Cross-Sectional Study.</w:t>
            </w:r>
            <w:r w:rsidRPr="00F70BE7">
              <w:rPr>
                <w:rFonts w:ascii="Times New Roman" w:hAnsi="Times New Roman"/>
                <w:color w:val="555555"/>
                <w:shd w:val="clear" w:color="auto" w:fill="FFFBBF"/>
              </w:rPr>
              <w:t> </w:t>
            </w:r>
            <w:hyperlink r:id="rId9" w:history="1">
              <w:r w:rsidRPr="00F70BE7">
                <w:rPr>
                  <w:rFonts w:ascii="Times New Roman" w:hAnsi="Times New Roman"/>
                  <w:color w:val="0055A6"/>
                  <w:u w:val="single"/>
                  <w:shd w:val="clear" w:color="auto" w:fill="FFFBBF"/>
                </w:rPr>
                <w:t>https://doi.org/10.2147/VHRM.S333394</w:t>
              </w:r>
            </w:hyperlink>
          </w:p>
        </w:tc>
      </w:tr>
      <w:tr w:rsidR="00A95D64" w:rsidRPr="00F70BE7" w:rsidTr="001D2A9B">
        <w:trPr>
          <w:trHeight w:val="707"/>
        </w:trPr>
        <w:tc>
          <w:tcPr>
            <w:tcW w:w="10173" w:type="dxa"/>
          </w:tcPr>
          <w:p w:rsidR="00A95D64" w:rsidRPr="00F70BE7" w:rsidRDefault="00A95D64" w:rsidP="001D2A9B">
            <w:pPr>
              <w:jc w:val="both"/>
              <w:rPr>
                <w:rFonts w:ascii="Times New Roman" w:hAnsi="Times New Roman"/>
                <w:color w:val="222222"/>
                <w:shd w:val="clear" w:color="auto" w:fill="FFFFFF"/>
              </w:rPr>
            </w:pPr>
            <w:r w:rsidRPr="00F70BE7">
              <w:rPr>
                <w:rFonts w:ascii="Times New Roman" w:hAnsi="Times New Roman"/>
                <w:color w:val="222222"/>
                <w:shd w:val="clear" w:color="auto" w:fill="FFFFFF"/>
              </w:rPr>
              <w:t>Magnitude and associated factors of virological failure among children on ART in Bahir Dar Town public health facilities, Northwest Ethiopia: a facility based cross-sectional study</w:t>
            </w:r>
          </w:p>
          <w:p w:rsidR="00A95D64" w:rsidRPr="00F70BE7" w:rsidRDefault="008E3A08" w:rsidP="001D2A9B">
            <w:pPr>
              <w:jc w:val="both"/>
              <w:rPr>
                <w:rFonts w:ascii="Times New Roman" w:hAnsi="Times New Roman"/>
                <w:color w:val="222222"/>
                <w:shd w:val="clear" w:color="auto" w:fill="FFFFFF"/>
              </w:rPr>
            </w:pPr>
            <w:hyperlink r:id="rId10" w:history="1">
              <w:r w:rsidR="00A95D64" w:rsidRPr="00F70BE7">
                <w:rPr>
                  <w:rStyle w:val="Hyperlink"/>
                  <w:rFonts w:ascii="Times New Roman" w:hAnsi="Times New Roman"/>
                  <w:color w:val="003B84"/>
                  <w:shd w:val="clear" w:color="auto" w:fill="FCFCFC"/>
                </w:rPr>
                <w:t>https://doi.org/10.1186/s13052-021-01030-7</w:t>
              </w:r>
            </w:hyperlink>
          </w:p>
        </w:tc>
      </w:tr>
      <w:tr w:rsidR="00A95D64" w:rsidRPr="00F70BE7" w:rsidTr="001D2A9B">
        <w:trPr>
          <w:trHeight w:val="707"/>
        </w:trPr>
        <w:tc>
          <w:tcPr>
            <w:tcW w:w="10173" w:type="dxa"/>
          </w:tcPr>
          <w:p w:rsidR="00A95D64" w:rsidRPr="00F70BE7" w:rsidRDefault="00A95D64" w:rsidP="001D2A9B">
            <w:pPr>
              <w:shd w:val="clear" w:color="auto" w:fill="FFFFFF"/>
              <w:spacing w:before="100" w:beforeAutospacing="1"/>
              <w:jc w:val="both"/>
              <w:rPr>
                <w:rFonts w:ascii="Times New Roman" w:hAnsi="Times New Roman"/>
                <w:color w:val="000000"/>
              </w:rPr>
            </w:pPr>
            <w:r w:rsidRPr="00F70BE7">
              <w:rPr>
                <w:rFonts w:ascii="Times New Roman" w:hAnsi="Times New Roman"/>
                <w:color w:val="000000"/>
              </w:rPr>
              <w:t>Pathological Scar and Its Associated Factors Among Survivor of Burn Victim Pediatrics Admitted to South Gondar Zone Public Hospitals, Amhara Regional State,  Ethiopia, 2020 – A Multi-Center Cross-Sectional Study.</w:t>
            </w:r>
            <w:hyperlink r:id="rId11" w:history="1">
              <w:r w:rsidRPr="00F70BE7">
                <w:rPr>
                  <w:rStyle w:val="Hyperlink"/>
                  <w:rFonts w:ascii="Times New Roman" w:hAnsi="Times New Roman"/>
                  <w:bCs/>
                </w:rPr>
                <w:t>https://doi.org/10.2147/CWCMR.S322794</w:t>
              </w:r>
            </w:hyperlink>
          </w:p>
        </w:tc>
      </w:tr>
      <w:tr w:rsidR="00A95D64" w:rsidRPr="00F70BE7" w:rsidTr="001D2A9B">
        <w:trPr>
          <w:trHeight w:val="707"/>
        </w:trPr>
        <w:tc>
          <w:tcPr>
            <w:tcW w:w="10173" w:type="dxa"/>
          </w:tcPr>
          <w:p w:rsidR="00A95D64" w:rsidRPr="00F70BE7" w:rsidRDefault="00A95D64" w:rsidP="001D2A9B">
            <w:pPr>
              <w:shd w:val="clear" w:color="auto" w:fill="FFFFFF"/>
              <w:spacing w:before="100" w:beforeAutospacing="1"/>
              <w:jc w:val="both"/>
              <w:rPr>
                <w:rFonts w:ascii="Times New Roman" w:hAnsi="Times New Roman"/>
              </w:rPr>
            </w:pPr>
            <w:r w:rsidRPr="00F70BE7">
              <w:rPr>
                <w:rFonts w:ascii="Times New Roman" w:hAnsi="Times New Roman"/>
              </w:rPr>
              <w:t>Magnitude of mortality and its associated factors among Burn victim children admitted to South Gondar zone government hospitals, Ethiopia, from 2015 to 2019.</w:t>
            </w:r>
            <w:hyperlink r:id="rId12" w:history="1">
              <w:r w:rsidRPr="00F70BE7">
                <w:rPr>
                  <w:rFonts w:ascii="Times New Roman" w:hAnsi="Times New Roman"/>
                  <w:color w:val="0000FF"/>
                  <w:u w:val="single"/>
                </w:rPr>
                <w:t>https://doi.org/10.1186/s13052-022-01204-x</w:t>
              </w:r>
            </w:hyperlink>
            <w:r w:rsidRPr="00F70BE7">
              <w:rPr>
                <w:rFonts w:ascii="Times New Roman" w:hAnsi="Times New Roman"/>
              </w:rPr>
              <w:t xml:space="preserve"> </w:t>
            </w:r>
          </w:p>
        </w:tc>
      </w:tr>
      <w:tr w:rsidR="00A95D64" w:rsidRPr="00F70BE7" w:rsidTr="001D2A9B">
        <w:trPr>
          <w:trHeight w:val="707"/>
        </w:trPr>
        <w:tc>
          <w:tcPr>
            <w:tcW w:w="10173" w:type="dxa"/>
          </w:tcPr>
          <w:p w:rsidR="00A95D64" w:rsidRPr="00F70BE7" w:rsidRDefault="00A95D64" w:rsidP="001D2A9B">
            <w:pPr>
              <w:shd w:val="clear" w:color="auto" w:fill="FFFFFF"/>
              <w:rPr>
                <w:rFonts w:ascii="Times New Roman" w:hAnsi="Times New Roman"/>
                <w:color w:val="1F497D"/>
              </w:rPr>
            </w:pPr>
            <w:r w:rsidRPr="00F70BE7">
              <w:rPr>
                <w:rFonts w:ascii="Times New Roman" w:hAnsi="Times New Roman"/>
                <w:color w:val="000000"/>
              </w:rPr>
              <w:t>Prevalence of timely complementary feeding initiation and associated factors among mothers having children aged 6-24 months in rural north-central Ethiopia: Community based cross-sectional study:</w:t>
            </w:r>
            <w:r w:rsidRPr="00F70BE7">
              <w:rPr>
                <w:rFonts w:ascii="Times New Roman" w:hAnsi="Times New Roman"/>
                <w:color w:val="1F497D"/>
              </w:rPr>
              <w:t>.  e0267008.</w:t>
            </w:r>
            <w:r w:rsidRPr="00F70BE7">
              <w:rPr>
                <w:rFonts w:ascii="Times New Roman" w:hAnsi="Times New Roman"/>
                <w:color w:val="1F497D"/>
                <w:shd w:val="clear" w:color="auto" w:fill="FFFFFF"/>
              </w:rPr>
              <w:t>doi:10.1371/journal.pone.0267008. eCollection 2022.</w:t>
            </w:r>
          </w:p>
        </w:tc>
      </w:tr>
      <w:tr w:rsidR="00A95D64" w:rsidRPr="00F70BE7" w:rsidTr="001D2A9B">
        <w:trPr>
          <w:trHeight w:val="707"/>
        </w:trPr>
        <w:tc>
          <w:tcPr>
            <w:tcW w:w="10173" w:type="dxa"/>
          </w:tcPr>
          <w:p w:rsidR="00A95D64" w:rsidRPr="00F70BE7" w:rsidRDefault="00A95D64" w:rsidP="001D2A9B">
            <w:pPr>
              <w:shd w:val="clear" w:color="auto" w:fill="FFFFFF"/>
              <w:rPr>
                <w:rFonts w:ascii="Times New Roman" w:hAnsi="Times New Roman"/>
                <w:color w:val="000000"/>
              </w:rPr>
            </w:pPr>
            <w:r w:rsidRPr="00F70BE7">
              <w:rPr>
                <w:rFonts w:ascii="Times New Roman" w:hAnsi="Times New Roman"/>
                <w:color w:val="000000"/>
              </w:rPr>
              <w:t>Potential determinant factors of under-five mortality in the Amhara region of Ethiopia:</w:t>
            </w:r>
            <w:r w:rsidRPr="00F70BE7">
              <w:rPr>
                <w:rFonts w:ascii="Times New Roman" w:hAnsi="Times New Roman"/>
                <w:color w:val="4F81BD"/>
                <w:u w:val="single"/>
              </w:rPr>
              <w:t>. doi: 10.1186/s12887-022-03253-x</w:t>
            </w:r>
          </w:p>
        </w:tc>
      </w:tr>
      <w:tr w:rsidR="00A95D64" w:rsidRPr="00F70BE7" w:rsidTr="001D2A9B">
        <w:trPr>
          <w:trHeight w:val="707"/>
        </w:trPr>
        <w:tc>
          <w:tcPr>
            <w:tcW w:w="10173" w:type="dxa"/>
          </w:tcPr>
          <w:p w:rsidR="00A95D64" w:rsidRPr="00F70BE7" w:rsidRDefault="00A95D64" w:rsidP="001D2A9B">
            <w:pPr>
              <w:shd w:val="clear" w:color="auto" w:fill="FFFFFF"/>
              <w:rPr>
                <w:rFonts w:ascii="Times New Roman" w:hAnsi="Times New Roman"/>
                <w:color w:val="000000"/>
              </w:rPr>
            </w:pPr>
            <w:r w:rsidRPr="00F70BE7">
              <w:rPr>
                <w:rFonts w:ascii="Times New Roman" w:hAnsi="Times New Roman"/>
                <w:color w:val="000000"/>
              </w:rPr>
              <w:lastRenderedPageBreak/>
              <w:t>Delayed ART initiation in “Test and Treat era” and its associated factors among adults receiving antiretroviral therapy at public health institutions in Northwest Ethiopia: A multicenter cross-sectional study</w:t>
            </w:r>
          </w:p>
          <w:p w:rsidR="00A95D64" w:rsidRPr="00F70BE7" w:rsidRDefault="00A95D64" w:rsidP="001D2A9B">
            <w:pPr>
              <w:shd w:val="clear" w:color="auto" w:fill="FFFFFF"/>
              <w:rPr>
                <w:rFonts w:ascii="Times New Roman" w:hAnsi="Times New Roman"/>
                <w:color w:val="000000"/>
              </w:rPr>
            </w:pPr>
            <w:r w:rsidRPr="00F70BE7">
              <w:rPr>
                <w:rFonts w:ascii="Times New Roman" w:hAnsi="Times New Roman"/>
                <w:color w:val="000000"/>
              </w:rPr>
              <w:t>https://doi.org/10.1371/journal.pone.0271127</w:t>
            </w:r>
          </w:p>
        </w:tc>
      </w:tr>
      <w:tr w:rsidR="00A95D64" w:rsidRPr="00F70BE7" w:rsidTr="001D2A9B">
        <w:trPr>
          <w:trHeight w:val="707"/>
        </w:trPr>
        <w:tc>
          <w:tcPr>
            <w:tcW w:w="10173" w:type="dxa"/>
          </w:tcPr>
          <w:p w:rsidR="00A95D64" w:rsidRPr="00F70BE7" w:rsidRDefault="00A95D64" w:rsidP="001D2A9B">
            <w:pPr>
              <w:shd w:val="clear" w:color="auto" w:fill="FFFFFF"/>
              <w:rPr>
                <w:rFonts w:ascii="Times New Roman" w:hAnsi="Times New Roman"/>
                <w:color w:val="000000"/>
              </w:rPr>
            </w:pPr>
            <w:r w:rsidRPr="00F70BE7">
              <w:rPr>
                <w:rFonts w:ascii="Times New Roman" w:hAnsi="Times New Roman"/>
                <w:color w:val="000000"/>
              </w:rPr>
              <w:t xml:space="preserve">Magnitude of birth asphyxia and its associated factors among live birth in north Central Ethiopia 2021: an institutional-based cross-sectional study: </w:t>
            </w:r>
            <w:r w:rsidRPr="00F70BE7">
              <w:rPr>
                <w:rFonts w:ascii="Times New Roman" w:hAnsi="Times New Roman"/>
                <w:color w:val="222222"/>
                <w:shd w:val="clear" w:color="auto" w:fill="EFEFEF"/>
              </w:rPr>
              <w:t>10.1186/s12887-022-03500-1</w:t>
            </w:r>
          </w:p>
        </w:tc>
      </w:tr>
      <w:tr w:rsidR="00A95D64" w:rsidRPr="00F70BE7" w:rsidTr="001D2A9B">
        <w:trPr>
          <w:trHeight w:val="707"/>
        </w:trPr>
        <w:tc>
          <w:tcPr>
            <w:tcW w:w="10173" w:type="dxa"/>
          </w:tcPr>
          <w:p w:rsidR="00A95D64" w:rsidRPr="00F70BE7" w:rsidRDefault="00A95D64" w:rsidP="001D2A9B">
            <w:pPr>
              <w:shd w:val="clear" w:color="auto" w:fill="FFFFFF"/>
              <w:rPr>
                <w:rFonts w:ascii="Times New Roman" w:hAnsi="Times New Roman"/>
                <w:color w:val="000000"/>
              </w:rPr>
            </w:pPr>
            <w:r w:rsidRPr="00F70BE7">
              <w:rPr>
                <w:rFonts w:ascii="Times New Roman" w:hAnsi="Times New Roman"/>
                <w:color w:val="000000"/>
              </w:rPr>
              <w:t>Prevalence and associated factors of treatment failure among children on ART in Ethiopia: A systematic review and metaanalysis</w:t>
            </w:r>
          </w:p>
          <w:p w:rsidR="00A95D64" w:rsidRPr="00F70BE7" w:rsidRDefault="00A95D64" w:rsidP="001D2A9B">
            <w:pPr>
              <w:shd w:val="clear" w:color="auto" w:fill="FFFFFF"/>
              <w:rPr>
                <w:rFonts w:ascii="Times New Roman" w:hAnsi="Times New Roman"/>
                <w:color w:val="000000"/>
              </w:rPr>
            </w:pPr>
            <w:r w:rsidRPr="00F70BE7">
              <w:rPr>
                <w:rFonts w:ascii="Times New Roman" w:hAnsi="Times New Roman"/>
              </w:rPr>
              <w:t xml:space="preserve">https://doi.org/10.1371/journal.pone.0261611   </w:t>
            </w:r>
          </w:p>
        </w:tc>
      </w:tr>
      <w:tr w:rsidR="00A95D64" w:rsidRPr="00F70BE7" w:rsidTr="001D2A9B">
        <w:trPr>
          <w:trHeight w:val="707"/>
        </w:trPr>
        <w:tc>
          <w:tcPr>
            <w:tcW w:w="10173" w:type="dxa"/>
          </w:tcPr>
          <w:p w:rsidR="00A95D64" w:rsidRPr="00F70BE7" w:rsidRDefault="00A95D64" w:rsidP="001D2A9B">
            <w:pPr>
              <w:shd w:val="clear" w:color="auto" w:fill="FFFFFF"/>
              <w:rPr>
                <w:rFonts w:ascii="Times New Roman" w:hAnsi="Times New Roman"/>
              </w:rPr>
            </w:pPr>
            <w:r w:rsidRPr="00F70BE7">
              <w:rPr>
                <w:rFonts w:ascii="Times New Roman" w:hAnsi="Times New Roman"/>
              </w:rPr>
              <w:t>Impact of Respiratory Distress Syndrome and Birth Asphyxia Exposure on the Survival of Preterm Neonates in East Africa continent: Systematic Review and Meta-analysis</w:t>
            </w:r>
          </w:p>
          <w:p w:rsidR="00A95D64" w:rsidRPr="00F70BE7" w:rsidRDefault="00A95D64" w:rsidP="001D2A9B">
            <w:pPr>
              <w:shd w:val="clear" w:color="auto" w:fill="FFFFFF"/>
              <w:rPr>
                <w:rFonts w:ascii="Times New Roman" w:hAnsi="Times New Roman"/>
                <w:color w:val="000000"/>
              </w:rPr>
            </w:pPr>
            <w:r w:rsidRPr="00F70BE7">
              <w:rPr>
                <w:rFonts w:ascii="Times New Roman" w:hAnsi="Times New Roman"/>
                <w:color w:val="000000"/>
              </w:rPr>
              <w:t>https://doi.org/10.1016/j.heliyon.2021.e07256</w:t>
            </w:r>
          </w:p>
        </w:tc>
      </w:tr>
    </w:tbl>
    <w:p w:rsidR="00A95D64" w:rsidRPr="00A95D64" w:rsidRDefault="00A95D64" w:rsidP="00A95D64">
      <w:pPr>
        <w:spacing w:line="360" w:lineRule="auto"/>
        <w:jc w:val="both"/>
        <w:rPr>
          <w:rFonts w:ascii="Times New Roman" w:hAnsi="Times New Roman" w:cs="Times New Roman"/>
          <w:sz w:val="24"/>
          <w:szCs w:val="24"/>
        </w:rPr>
      </w:pPr>
    </w:p>
    <w:sectPr w:rsidR="00A95D64" w:rsidRPr="00A95D6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5D64"/>
    <w:rsid w:val="00857BF6"/>
    <w:rsid w:val="008C5FFC"/>
    <w:rsid w:val="008E3A08"/>
    <w:rsid w:val="008E6C4A"/>
    <w:rsid w:val="00A95D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95D64"/>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95D6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2147/PHMT.S288071"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doi.org/10.1186/s13052-021-01154-w" TargetMode="External"/><Relationship Id="rId12" Type="http://schemas.openxmlformats.org/officeDocument/2006/relationships/hyperlink" Target="https://doi.org/10.1186/s13052-022-01204-x"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doi.org/10.2147/RMHP.S303876" TargetMode="External"/><Relationship Id="rId11" Type="http://schemas.openxmlformats.org/officeDocument/2006/relationships/hyperlink" Target="https://doi.org/10.2147/CWCMR.S322794" TargetMode="External"/><Relationship Id="rId5" Type="http://schemas.openxmlformats.org/officeDocument/2006/relationships/hyperlink" Target="https://doi.org/10.2147/HIV.S352386" TargetMode="External"/><Relationship Id="rId10" Type="http://schemas.openxmlformats.org/officeDocument/2006/relationships/hyperlink" Target="https://doi.org/10.1186/s13052-021-01030-7" TargetMode="External"/><Relationship Id="rId4" Type="http://schemas.openxmlformats.org/officeDocument/2006/relationships/webSettings" Target="webSettings.xml"/><Relationship Id="rId9" Type="http://schemas.openxmlformats.org/officeDocument/2006/relationships/hyperlink" Target="https://doi.org/10.2147/VHRM.S333394"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883</Words>
  <Characters>5035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5907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wajhul</cp:lastModifiedBy>
  <cp:revision>2</cp:revision>
  <dcterms:created xsi:type="dcterms:W3CDTF">2022-09-29T06:09:00Z</dcterms:created>
  <dcterms:modified xsi:type="dcterms:W3CDTF">2022-09-29T06:09:00Z</dcterms:modified>
</cp:coreProperties>
</file>