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w:jc w:val="left"/>
        <w:rPr>
          <w:rFonts w:ascii="Microsoft Sans Serif" w:cs="Microsoft Sans Serif" w:hAnsi="Microsoft Sans Serif" w:eastAsia="Microsoft Sans Serif"/>
          <w:color w:val="489bc9"/>
          <w:sz w:val="26"/>
          <w:szCs w:val="26"/>
        </w:rPr>
      </w:pPr>
      <w:r>
        <w:rPr>
          <w:rFonts w:ascii="Microsoft Sans Serif" w:hAnsi="Microsoft Sans Serif" w:hint="default"/>
          <w:color w:val="489bc9"/>
          <w:sz w:val="26"/>
          <w:szCs w:val="26"/>
          <w:rtl w:val="0"/>
          <w:lang w:val="en-US"/>
        </w:rPr>
        <w:t>“</w:t>
      </w:r>
      <w:r>
        <w:rPr>
          <w:rFonts w:ascii="Times" w:hAnsi="Times"/>
          <w:b w:val="1"/>
          <w:bCs w:val="1"/>
          <w:color w:val="63b2de"/>
          <w:sz w:val="26"/>
          <w:szCs w:val="26"/>
          <w:rtl w:val="0"/>
          <w:lang w:val="en-US"/>
        </w:rPr>
        <w:t>Energy restriction diet</w:t>
      </w:r>
      <w:r>
        <w:rPr>
          <w:rFonts w:ascii="Times" w:hAnsi="Times"/>
          <w:b w:val="1"/>
          <w:bCs w:val="1"/>
          <w:color w:val="63b2de"/>
          <w:sz w:val="26"/>
          <w:szCs w:val="26"/>
          <w:rtl w:val="0"/>
          <w:lang w:val="en-US"/>
        </w:rPr>
        <w:t>ing</w:t>
      </w:r>
      <w:r>
        <w:rPr>
          <w:rFonts w:ascii="Times" w:hAnsi="Times"/>
          <w:b w:val="1"/>
          <w:bCs w:val="1"/>
          <w:color w:val="63b2de"/>
          <w:sz w:val="26"/>
          <w:szCs w:val="26"/>
          <w:rtl w:val="0"/>
          <w:lang w:val="en-US"/>
        </w:rPr>
        <w:t xml:space="preserve"> and weight loss: Comparing Intermittent energy restriction versus</w:t>
      </w:r>
      <w:r>
        <w:rPr>
          <w:rFonts w:ascii="Times" w:hAnsi="Times"/>
          <w:b w:val="1"/>
          <w:bCs w:val="1"/>
          <w:color w:val="63b2de"/>
          <w:sz w:val="26"/>
          <w:szCs w:val="26"/>
          <w:rtl w:val="0"/>
          <w:lang w:val="en-US"/>
        </w:rPr>
        <w:t xml:space="preserve"> continuous energy restriction and</w:t>
      </w:r>
      <w:r>
        <w:rPr>
          <w:rFonts w:ascii="Times" w:hAnsi="Times"/>
          <w:b w:val="1"/>
          <w:bCs w:val="1"/>
          <w:color w:val="63b2de"/>
          <w:sz w:val="26"/>
          <w:szCs w:val="26"/>
          <w:rtl w:val="0"/>
          <w:lang w:val="en-US"/>
        </w:rPr>
        <w:t xml:space="preserve"> intermittent fasting, on benefit and harm, between overweight and normal weight subject</w:t>
      </w:r>
      <w:r>
        <w:rPr>
          <w:rFonts w:ascii="Times" w:hAnsi="Times"/>
          <w:b w:val="1"/>
          <w:bCs w:val="1"/>
          <w:color w:val="63b2de"/>
          <w:sz w:val="26"/>
          <w:szCs w:val="26"/>
          <w:rtl w:val="0"/>
          <w:lang w:val="en-US"/>
        </w:rPr>
        <w:t>, review of evidence</w:t>
      </w:r>
      <w:r>
        <w:rPr>
          <w:rFonts w:ascii="Times" w:hAnsi="Times"/>
          <w:b w:val="1"/>
          <w:bCs w:val="1"/>
          <w:color w:val="63b2de"/>
          <w:sz w:val="26"/>
          <w:szCs w:val="26"/>
          <w:rtl w:val="0"/>
        </w:rPr>
        <w:t>.</w:t>
      </w:r>
      <w:r>
        <w:rPr>
          <w:rFonts w:ascii="Times" w:hAnsi="Times"/>
          <w:b w:val="1"/>
          <w:bCs w:val="1"/>
          <w:color w:val="489bc9"/>
          <w:sz w:val="26"/>
          <w:szCs w:val="26"/>
          <w:rtl w:val="0"/>
        </w:rPr>
        <w:t xml:space="preserve"> </w:t>
      </w:r>
      <w:r>
        <w:rPr>
          <w:rFonts w:ascii="Microsoft Sans Serif" w:hAnsi="Microsoft Sans Serif" w:hint="default"/>
          <w:color w:val="489bc9"/>
          <w:sz w:val="26"/>
          <w:szCs w:val="26"/>
          <w:rtl w:val="0"/>
          <w:lang w:val="en-US"/>
        </w:rPr>
        <w:t>”</w:t>
      </w:r>
    </w:p>
    <w:p>
      <w:pPr>
        <w:pStyle w:val="Body"/>
        <w:bidi w:val="0"/>
      </w:pPr>
      <w:r>
        <w:rPr>
          <w:rtl w:val="0"/>
        </w:rPr>
        <w:t>Ling Sien Ngan, Master of Social Sciences (Diplomacy, Security, International Relations), Malaysia</w:t>
      </w:r>
    </w:p>
    <w:p>
      <w:pPr>
        <w:pStyle w:val="Body"/>
        <w:bidi w:val="0"/>
      </w:pPr>
      <w:r>
        <w:rPr>
          <w:rtl w:val="0"/>
        </w:rPr>
        <w:t>Ling Sien Ngan, Post Graduate Study in Andrology &amp; Men</w:t>
      </w:r>
      <w:r>
        <w:rPr>
          <w:rtl w:val="0"/>
        </w:rPr>
        <w:t>’</w:t>
      </w:r>
      <w:r>
        <w:rPr>
          <w:rtl w:val="0"/>
        </w:rPr>
        <w:t>s Health, Singapore</w:t>
      </w:r>
    </w:p>
    <w:p>
      <w:pPr>
        <w:pStyle w:val="Body"/>
        <w:bidi w:val="0"/>
      </w:pPr>
      <w:r>
        <w:rPr>
          <w:rtl w:val="0"/>
        </w:rPr>
        <w:t>Ling Sien Ngan, Post-Graduate Dip Fertility Studies, Malaysia</w:t>
      </w:r>
    </w:p>
    <w:p>
      <w:pPr>
        <w:pStyle w:val="Body"/>
        <w:bidi w:val="0"/>
      </w:pPr>
      <w:r>
        <w:rPr>
          <w:rtl w:val="0"/>
        </w:rPr>
        <w:t>Ling Sien Ngan, Fellow in Dermatologic Laser Surgery, Thailand</w:t>
      </w:r>
    </w:p>
    <w:p>
      <w:pPr>
        <w:pStyle w:val="Body"/>
        <w:bidi w:val="0"/>
      </w:pPr>
      <w:r>
        <w:rPr>
          <w:rtl w:val="0"/>
        </w:rPr>
        <w:t>Ling Sien Ngan, Clinical Cosmetic Surgery, Taiwan</w:t>
      </w:r>
    </w:p>
    <w:p>
      <w:pPr>
        <w:pStyle w:val="Body"/>
        <w:bidi w:val="0"/>
      </w:pPr>
      <w:r>
        <w:rPr>
          <w:rtl w:val="0"/>
        </w:rPr>
        <w:t>Ling Sien Ngan, Aesthetic Medicine LCP, Malaysia</w:t>
      </w:r>
    </w:p>
    <w:p>
      <w:pPr>
        <w:pStyle w:val="Body"/>
        <w:bidi w:val="0"/>
      </w:pPr>
      <w:r>
        <w:rPr>
          <w:rtl w:val="0"/>
        </w:rPr>
        <w:t>Ling Sien Ngan, MBBS, University of Allahabad, India</w:t>
      </w:r>
    </w:p>
    <w:p>
      <w:pPr>
        <w:pStyle w:val="Body"/>
        <w:bidi w:val="0"/>
      </w:pPr>
      <w:r>
        <w:rPr>
          <w:rtl w:val="0"/>
        </w:rPr>
        <w:t>Low Yock Ngan, MD, University of Andalas, Indonesia</w:t>
      </w:r>
    </w:p>
    <w:p>
      <w:pPr>
        <w:pStyle w:val="Body Text"/>
        <w:spacing w:before="90" w:line="280" w:lineRule="auto"/>
        <w:ind w:left="100" w:firstLine="0"/>
        <w:jc w:val="both"/>
      </w:pPr>
    </w:p>
    <w:p>
      <w:pPr>
        <w:pStyle w:val="Body Text"/>
        <w:spacing w:before="90" w:line="280" w:lineRule="auto"/>
        <w:ind w:left="100" w:firstLine="0"/>
        <w:jc w:val="both"/>
        <w:rPr>
          <w:b w:val="1"/>
          <w:bCs w:val="1"/>
          <w:sz w:val="22"/>
          <w:szCs w:val="22"/>
        </w:rPr>
      </w:pPr>
      <w:r>
        <w:rPr>
          <w:b w:val="1"/>
          <w:bCs w:val="1"/>
          <w:sz w:val="22"/>
          <w:szCs w:val="22"/>
          <w:rtl w:val="0"/>
          <w:lang w:val="en-US"/>
        </w:rPr>
        <w:t xml:space="preserve">Abstract </w:t>
      </w:r>
    </w:p>
    <w:p>
      <w:pPr>
        <w:pStyle w:val="Body Text"/>
        <w:spacing w:before="90" w:line="280" w:lineRule="auto"/>
        <w:ind w:left="100" w:firstLine="0"/>
        <w:jc w:val="both"/>
      </w:pPr>
      <w:r>
        <w:rPr>
          <w:rtl w:val="0"/>
          <w:lang w:val="en-US"/>
        </w:rPr>
        <w:t xml:space="preserve">Statement of the Problem:   </w:t>
      </w:r>
    </w:p>
    <w:p>
      <w:pPr>
        <w:pStyle w:val="Body Text"/>
        <w:spacing w:before="90" w:line="280" w:lineRule="auto"/>
        <w:ind w:left="100" w:firstLine="0"/>
        <w:jc w:val="both"/>
      </w:pPr>
      <w:r>
        <w:rPr>
          <w:rtl w:val="0"/>
          <w:lang w:val="en-US"/>
        </w:rPr>
        <w:t xml:space="preserve">Obesity pandemic and the lifestyle diseases it carry with connotation, has spurred many into dieting for not just body image conscious but health benefit. Dieting is a form of energy restriction (ER) which has different forms. This does not offer blanket benefit but risk like loss of fat free mass (FFM). A wide array of pattern of dieting is available but which is most suitable and risk free? Not just obese subject has interest but the normal weight subject as well hoping to gain some extra edge on health/beauty benefit. </w:t>
      </w:r>
    </w:p>
    <w:p>
      <w:pPr>
        <w:pStyle w:val="Body Text"/>
        <w:spacing w:before="90" w:line="280" w:lineRule="auto"/>
        <w:ind w:left="100" w:firstLine="0"/>
        <w:jc w:val="both"/>
      </w:pPr>
      <w:r>
        <w:rPr>
          <w:rtl w:val="0"/>
          <w:lang w:val="en-US"/>
        </w:rPr>
        <w:t xml:space="preserve">Methodology &amp; Theoretical Orientation: </w:t>
      </w:r>
    </w:p>
    <w:p>
      <w:pPr>
        <w:pStyle w:val="Body Text"/>
        <w:spacing w:before="90" w:line="280" w:lineRule="auto"/>
        <w:ind w:left="100" w:firstLine="0"/>
        <w:jc w:val="both"/>
      </w:pPr>
      <w:r>
        <w:rPr>
          <w:rtl w:val="0"/>
          <w:lang w:val="en-US"/>
        </w:rPr>
        <w:t xml:space="preserve">A Medline search from 1945-2015 using terms </w:t>
      </w:r>
      <w:r>
        <w:rPr>
          <w:rtl w:val="0"/>
          <w:lang w:val="en-US"/>
        </w:rPr>
        <w:t>“</w:t>
      </w:r>
      <w:r>
        <w:rPr>
          <w:rtl w:val="0"/>
          <w:lang w:val="en-US"/>
        </w:rPr>
        <w:t>intermittent</w:t>
      </w:r>
      <w:r>
        <w:rPr>
          <w:rtl w:val="0"/>
          <w:lang w:val="en-US"/>
        </w:rPr>
        <w:t xml:space="preserve">” </w:t>
      </w:r>
      <w:r>
        <w:rPr>
          <w:rtl w:val="0"/>
          <w:lang w:val="en-US"/>
        </w:rPr>
        <w:t xml:space="preserve">or </w:t>
      </w:r>
      <w:r>
        <w:rPr>
          <w:rtl w:val="0"/>
          <w:lang w:val="en-US"/>
        </w:rPr>
        <w:t>“</w:t>
      </w:r>
      <w:r>
        <w:rPr>
          <w:rtl w:val="0"/>
          <w:lang w:val="en-US"/>
        </w:rPr>
        <w:t>fasting</w:t>
      </w:r>
      <w:r>
        <w:rPr>
          <w:rtl w:val="0"/>
          <w:lang w:val="en-US"/>
        </w:rPr>
        <w:t xml:space="preserve">” </w:t>
      </w:r>
      <w:r>
        <w:rPr>
          <w:rtl w:val="0"/>
          <w:lang w:val="en-US"/>
        </w:rPr>
        <w:t xml:space="preserve">or </w:t>
      </w:r>
      <w:r>
        <w:rPr>
          <w:rtl w:val="0"/>
          <w:lang w:val="en-US"/>
        </w:rPr>
        <w:t>“</w:t>
      </w:r>
      <w:r>
        <w:rPr>
          <w:rtl w:val="0"/>
          <w:lang w:val="en-US"/>
        </w:rPr>
        <w:t>diet</w:t>
      </w:r>
      <w:r>
        <w:rPr>
          <w:rtl w:val="0"/>
          <w:lang w:val="en-US"/>
        </w:rPr>
        <w:t xml:space="preserve">” </w:t>
      </w:r>
      <w:r>
        <w:rPr>
          <w:rtl w:val="0"/>
          <w:lang w:val="en-US"/>
        </w:rPr>
        <w:t xml:space="preserve">or </w:t>
      </w:r>
      <w:r>
        <w:rPr>
          <w:rtl w:val="0"/>
          <w:lang w:val="en-US"/>
        </w:rPr>
        <w:t>“</w:t>
      </w:r>
      <w:r>
        <w:rPr>
          <w:rtl w:val="0"/>
          <w:lang w:val="en-US"/>
        </w:rPr>
        <w:t>energy restriction</w:t>
      </w:r>
      <w:r>
        <w:rPr>
          <w:rtl w:val="0"/>
          <w:lang w:val="en-US"/>
        </w:rPr>
        <w:t xml:space="preserve">” </w:t>
      </w:r>
      <w:r>
        <w:rPr>
          <w:rtl w:val="0"/>
          <w:lang w:val="en-US"/>
        </w:rPr>
        <w:t xml:space="preserve">linking with </w:t>
      </w:r>
      <w:r>
        <w:rPr>
          <w:rtl w:val="0"/>
          <w:lang w:val="en-US"/>
        </w:rPr>
        <w:t>“</w:t>
      </w:r>
      <w:r>
        <w:rPr>
          <w:rtl w:val="0"/>
          <w:lang w:val="en-US"/>
        </w:rPr>
        <w:t>body fat</w:t>
      </w:r>
      <w:r>
        <w:rPr>
          <w:rtl w:val="0"/>
          <w:lang w:val="en-US"/>
        </w:rPr>
        <w:t>”</w:t>
      </w:r>
      <w:r>
        <w:rPr>
          <w:rtl w:val="0"/>
          <w:lang w:val="en-US"/>
        </w:rPr>
        <w:t xml:space="preserve">, </w:t>
      </w:r>
      <w:r>
        <w:rPr>
          <w:rtl w:val="0"/>
          <w:lang w:val="en-US"/>
        </w:rPr>
        <w:t>“</w:t>
      </w:r>
      <w:r>
        <w:rPr>
          <w:rtl w:val="0"/>
          <w:lang w:val="en-US"/>
        </w:rPr>
        <w:t>body weight</w:t>
      </w:r>
      <w:r>
        <w:rPr>
          <w:rtl w:val="0"/>
          <w:lang w:val="en-US"/>
        </w:rPr>
        <w:t>”</w:t>
      </w:r>
      <w:r>
        <w:rPr>
          <w:rtl w:val="0"/>
          <w:lang w:val="en-US"/>
        </w:rPr>
        <w:t xml:space="preserve">, </w:t>
      </w:r>
      <w:r>
        <w:rPr>
          <w:rtl w:val="0"/>
          <w:lang w:val="en-US"/>
        </w:rPr>
        <w:t>“</w:t>
      </w:r>
      <w:r>
        <w:rPr>
          <w:rtl w:val="0"/>
          <w:lang w:val="en-US"/>
        </w:rPr>
        <w:t>hepatic fat</w:t>
      </w:r>
      <w:r>
        <w:rPr>
          <w:rtl w:val="0"/>
          <w:lang w:val="en-US"/>
        </w:rPr>
        <w:t>”</w:t>
      </w:r>
      <w:r>
        <w:rPr>
          <w:rtl w:val="0"/>
          <w:lang w:val="en-US"/>
        </w:rPr>
        <w:t xml:space="preserve">, </w:t>
      </w:r>
      <w:r>
        <w:rPr>
          <w:rtl w:val="0"/>
          <w:lang w:val="en-US"/>
        </w:rPr>
        <w:t>“</w:t>
      </w:r>
      <w:r>
        <w:rPr>
          <w:rtl w:val="0"/>
          <w:lang w:val="en-US"/>
        </w:rPr>
        <w:t>fat free mass</w:t>
      </w:r>
      <w:r>
        <w:rPr>
          <w:rtl w:val="0"/>
          <w:lang w:val="en-US"/>
        </w:rPr>
        <w:t>”</w:t>
      </w:r>
      <w:r>
        <w:rPr>
          <w:rtl w:val="0"/>
          <w:lang w:val="en-US"/>
        </w:rPr>
        <w:t xml:space="preserve">, </w:t>
      </w:r>
      <w:r>
        <w:rPr>
          <w:rtl w:val="0"/>
          <w:lang w:val="en-US"/>
        </w:rPr>
        <w:t>“</w:t>
      </w:r>
      <w:r>
        <w:rPr>
          <w:rtl w:val="0"/>
          <w:lang w:val="en-US"/>
        </w:rPr>
        <w:t>insulin sensitivity</w:t>
      </w:r>
      <w:r>
        <w:rPr>
          <w:rtl w:val="0"/>
          <w:lang w:val="en-US"/>
        </w:rPr>
        <w:t>”</w:t>
      </w:r>
      <w:r>
        <w:rPr>
          <w:rtl w:val="0"/>
          <w:lang w:val="en-US"/>
        </w:rPr>
        <w:t xml:space="preserve">, </w:t>
      </w:r>
      <w:r>
        <w:rPr>
          <w:rtl w:val="0"/>
          <w:lang w:val="en-US"/>
        </w:rPr>
        <w:t>“</w:t>
      </w:r>
      <w:r>
        <w:rPr>
          <w:rtl w:val="0"/>
          <w:lang w:val="en-US"/>
        </w:rPr>
        <w:t>insulin resistance</w:t>
      </w:r>
      <w:r>
        <w:rPr>
          <w:rtl w:val="0"/>
          <w:lang w:val="en-US"/>
        </w:rPr>
        <w:t>”</w:t>
      </w:r>
      <w:r>
        <w:rPr>
          <w:rtl w:val="0"/>
          <w:lang w:val="en-US"/>
        </w:rPr>
        <w:t xml:space="preserve">, </w:t>
      </w:r>
      <w:r>
        <w:rPr>
          <w:rtl w:val="0"/>
          <w:lang w:val="en-US"/>
        </w:rPr>
        <w:t>“</w:t>
      </w:r>
      <w:r>
        <w:rPr>
          <w:rtl w:val="0"/>
          <w:lang w:val="en-US"/>
        </w:rPr>
        <w:t>metabolic flexibility</w:t>
      </w:r>
      <w:r>
        <w:rPr>
          <w:rtl w:val="0"/>
          <w:lang w:val="en-US"/>
        </w:rPr>
        <w:t>”</w:t>
      </w:r>
      <w:r>
        <w:rPr>
          <w:rtl w:val="0"/>
          <w:lang w:val="en-US"/>
        </w:rPr>
        <w:t>. Trials included have at least 50% energy restriction. To compare weight loss and adherence, we include on RCTs where diets had been matched, for total energy intake. Theoretically is by using</w:t>
      </w:r>
      <w:r>
        <w:rPr>
          <w:rtl w:val="0"/>
          <w:lang w:val="en-US"/>
        </w:rPr>
        <w:t xml:space="preserve"> a commonly used qualitative &amp; quantitative analysis </w:t>
      </w:r>
      <w:r>
        <w:rPr>
          <w:rtl w:val="0"/>
          <w:lang w:val="en-US"/>
        </w:rPr>
        <w:t>through</w:t>
      </w:r>
      <w:r>
        <w:rPr>
          <w:rtl w:val="0"/>
          <w:lang w:val="en-US"/>
        </w:rPr>
        <w:t xml:space="preserve"> reviewing literature, clinical history, interview &amp; observation,  and forming focus group to gather data. Using the security framework &amp; lenses of analysis of the social science/behaviour to understand </w:t>
      </w:r>
      <w:r>
        <w:rPr>
          <w:rtl w:val="0"/>
          <w:lang w:val="en-US"/>
        </w:rPr>
        <w:t xml:space="preserve">the fasting trend in our health conscious society. </w:t>
      </w:r>
    </w:p>
    <w:p>
      <w:pPr>
        <w:pStyle w:val="Body Text"/>
        <w:spacing w:before="90" w:line="280" w:lineRule="auto"/>
        <w:ind w:left="100" w:firstLine="0"/>
        <w:jc w:val="both"/>
      </w:pPr>
      <w:r>
        <w:rPr>
          <w:rtl w:val="0"/>
          <w:lang w:val="en-US"/>
        </w:rPr>
        <w:t xml:space="preserve">Finding: </w:t>
      </w:r>
    </w:p>
    <w:p>
      <w:pPr>
        <w:pStyle w:val="Body Text"/>
        <w:spacing w:before="90" w:line="280" w:lineRule="auto"/>
        <w:ind w:left="100" w:firstLine="0"/>
        <w:jc w:val="both"/>
      </w:pPr>
      <w:r>
        <w:rPr>
          <w:rtl w:val="0"/>
          <w:lang w:val="en-US"/>
        </w:rPr>
        <w:t xml:space="preserve">Commonest dieting studied were the intermittent energy restriction (IER) which include: including two days consecutive 60-70% energy restriction, (with no or voluntary carry over 20% restriction for next five days cycle, translating into overall 35% per week); alternate day energy restriction  of 60-70%(ADER); and alternate day total intermittent fasting (IF). The benefit for the obese subject in terms of weight loss, ability of preserving the weight loss (meaning at least 10% weight loss maintained at 12th month is much depending on level of support given) were comparable between IER and isoenergetic continuous energy restriction (CER). The compliance with IER is better than CER. The </w:t>
      </w:r>
      <w:r>
        <w:rPr>
          <w:b w:val="1"/>
          <w:bCs w:val="1"/>
          <w:rtl w:val="0"/>
          <w:lang w:val="en-US"/>
        </w:rPr>
        <w:t>adiposity</w:t>
      </w:r>
      <w:r>
        <w:rPr>
          <w:rtl w:val="0"/>
          <w:lang w:val="en-US"/>
        </w:rPr>
        <w:t xml:space="preserve"> reduction was readily mobilised from the hepatic and abdominal over subcutaneous and intra-myocellular lipid store by 30% was comparable between the two. This bring about reduced </w:t>
      </w:r>
      <w:r>
        <w:rPr>
          <w:b w:val="1"/>
          <w:bCs w:val="1"/>
          <w:rtl w:val="0"/>
          <w:lang w:val="en-US"/>
        </w:rPr>
        <w:t>insulin resistance</w:t>
      </w:r>
      <w:r>
        <w:rPr>
          <w:rtl w:val="0"/>
          <w:lang w:val="en-US"/>
        </w:rPr>
        <w:t xml:space="preserve"> for the obese subjects. In the normal weight subject IER cause lipolysis with </w:t>
      </w:r>
      <w:r>
        <w:rPr>
          <w:b w:val="1"/>
          <w:bCs w:val="1"/>
          <w:rtl w:val="0"/>
          <w:lang w:val="en-US"/>
        </w:rPr>
        <w:t>free fatty acid flux</w:t>
      </w:r>
      <w:r>
        <w:rPr>
          <w:rtl w:val="0"/>
          <w:lang w:val="en-US"/>
        </w:rPr>
        <w:t xml:space="preserve"> by 3 times of normal over night fast causing increased skeletal muscle insulin resistance, arterial sclerosis and blood pressure is harmful. Loss of FFM is detected from all the ER program in obese subject; lowest in IER of 10-20% of total weight loss, to 30% in IF &amp; ADER, to highest  of 50% in the normal weight subject. In order not to loss FFM, exercise is a must and add sufficient protein (1.2g/kg body weight) in their diet while under ER. Resting energy expenditure (REE) is much reduced in all ER, with exception of minor initial increase due to fatty acid recycling &amp; gluconeogenesis. All ER bring down insulin resistance except normal weight subject; IER perform better than CER in 35% Vs 20% reduction. ER brings about </w:t>
      </w:r>
      <w:r>
        <w:rPr>
          <w:b w:val="1"/>
          <w:bCs w:val="1"/>
          <w:rtl w:val="0"/>
          <w:lang w:val="en-US"/>
        </w:rPr>
        <w:t>metabolic flexibility</w:t>
      </w:r>
      <w:r>
        <w:rPr>
          <w:rtl w:val="0"/>
          <w:lang w:val="en-US"/>
        </w:rPr>
        <w:t xml:space="preserve"> by switching readily from glucose oxidation into fat and amino acid oxidation, and back quickly post-prandial. Metabolic inflexibility is seen in all obese subject. IER &amp; IF does not cause hyperphagia/bing eating during non restricted day, mood disturbance like depression, perturbation of thalamus-pituitary-gonadal axis, or ability to exercise, and thus is a relatively safe program except for muscle mass. Coming to the optimality of regiment, IER is preferable over IF due to better compliance. Timing of ER does not affect weight loss performance nor compliance. Given one meal a day, or spread that same amount out into 3 smaller meals achieve similar result. Weight loss through ER also helps to reduce general cancer risk especially for the obese. </w:t>
      </w:r>
    </w:p>
    <w:p>
      <w:pPr>
        <w:pStyle w:val="Body Text"/>
        <w:spacing w:before="90" w:line="280" w:lineRule="auto"/>
        <w:ind w:left="100" w:firstLine="0"/>
        <w:jc w:val="both"/>
      </w:pPr>
      <w:r>
        <w:rPr>
          <w:rtl w:val="0"/>
          <w:lang w:val="en-US"/>
        </w:rPr>
        <w:t xml:space="preserve">Conclusion &amp; Significance: </w:t>
      </w:r>
    </w:p>
    <w:p>
      <w:pPr>
        <w:pStyle w:val="Body Text"/>
        <w:spacing w:before="90" w:line="280" w:lineRule="auto"/>
        <w:ind w:left="100" w:firstLine="0"/>
        <w:jc w:val="both"/>
        <w:rPr>
          <w:strike w:val="1"/>
          <w:dstrike w:val="0"/>
        </w:rPr>
      </w:pPr>
      <w:r>
        <w:rPr>
          <w:rtl w:val="0"/>
          <w:lang w:val="en-US"/>
        </w:rPr>
        <w:t xml:space="preserve">This review theme is to compare benefit/risk of IER &amp; CER. IER is preferable for better compliance although both give comparable benefit. To preserve muscle mass, all ER diet must have protein of over 1.2g/kg body weight and exercise simultaneously, especially for normal weight subject. </w:t>
      </w:r>
    </w:p>
    <w:p>
      <w:pPr>
        <w:pStyle w:val="Body Text"/>
        <w:spacing w:before="90" w:line="280" w:lineRule="auto"/>
        <w:ind w:left="100" w:firstLine="0"/>
        <w:jc w:val="both"/>
      </w:pPr>
      <w:r>
        <w:rPr>
          <w:rtl w:val="0"/>
          <w:lang w:val="en-US"/>
        </w:rPr>
        <w:t xml:space="preserve">Recommendation: </w:t>
      </w:r>
    </w:p>
    <w:p>
      <w:pPr>
        <w:pStyle w:val="Body Text"/>
        <w:spacing w:before="90" w:line="280" w:lineRule="auto"/>
        <w:ind w:left="100" w:firstLine="0"/>
        <w:jc w:val="both"/>
      </w:pPr>
      <w:r>
        <w:rPr>
          <w:rtl w:val="0"/>
          <w:lang w:val="en-US"/>
        </w:rPr>
        <w:t xml:space="preserve">ER is not the recommended normal lifestyle but invaluable for the obese subject to loss weight, maintain it, compliance with the program in long term and stay healthy. For the normal weight subject it is not recommended to go for energy restricted dieting.  Policy maker, NGO and health educator has a duty to inform public on balanced energy living with regular exercise is the best lifestyle to pursue even before been overweight.   </w:t>
      </w:r>
    </w:p>
    <w:p>
      <w:pPr>
        <w:pStyle w:val="Body Text"/>
        <w:spacing w:before="90" w:line="280" w:lineRule="auto"/>
        <w:ind w:left="100" w:firstLine="0"/>
        <w:jc w:val="both"/>
        <w:rPr>
          <w:sz w:val="30"/>
          <w:szCs w:val="30"/>
        </w:rPr>
      </w:pPr>
      <w:r>
        <w:rPr>
          <w:sz w:val="30"/>
          <w:szCs w:val="30"/>
          <w:rtl w:val="0"/>
          <w:lang w:val="en-US"/>
        </w:rPr>
        <w:t>References:</w:t>
      </w:r>
    </w:p>
    <w:p>
      <w:pPr>
        <w:pStyle w:val="Body"/>
        <w:numPr>
          <w:ilvl w:val="0"/>
          <w:numId w:val="2"/>
        </w:numPr>
        <w:rPr>
          <w:sz w:val="18"/>
          <w:szCs w:val="18"/>
          <w:lang w:val="en-US"/>
        </w:rPr>
      </w:pPr>
      <w:r>
        <w:rPr>
          <w:sz w:val="18"/>
          <w:szCs w:val="18"/>
          <w:rtl w:val="0"/>
          <w:lang w:val="en-US"/>
        </w:rPr>
        <w:t>Forouzanfar, M.H.; Alexander, L.; Anderson, H.R.; Bachman, V.F.; Biryukov, S.; Brauer, M.; Burnett, R.; Casey, D.; Coates, M.M.; Cohen, A.; et al. Global, regional, and national comparative risk assessment of 79 behavioural, environmental and occupational, and metabolic risks or clusters of risks in 188 countries, 1990</w:t>
      </w:r>
      <w:r>
        <w:rPr>
          <w:sz w:val="18"/>
          <w:szCs w:val="18"/>
          <w:rtl w:val="0"/>
        </w:rPr>
        <w:t>–</w:t>
      </w:r>
      <w:r>
        <w:rPr>
          <w:sz w:val="18"/>
          <w:szCs w:val="18"/>
          <w:rtl w:val="0"/>
          <w:lang w:val="en-US"/>
        </w:rPr>
        <w:t xml:space="preserve">2013: A systematic analysis for the Global Burden of Disease Study 2013. </w:t>
      </w:r>
      <w:r>
        <w:rPr>
          <w:i w:val="1"/>
          <w:iCs w:val="1"/>
          <w:sz w:val="18"/>
          <w:szCs w:val="18"/>
          <w:rtl w:val="0"/>
          <w:lang w:val="fr-FR"/>
        </w:rPr>
        <w:t xml:space="preserve">Lancet </w:t>
      </w:r>
      <w:r>
        <w:rPr>
          <w:b w:val="1"/>
          <w:bCs w:val="1"/>
          <w:sz w:val="18"/>
          <w:szCs w:val="18"/>
          <w:rtl w:val="0"/>
        </w:rPr>
        <w:t>2015</w:t>
      </w:r>
      <w:r>
        <w:rPr>
          <w:sz w:val="18"/>
          <w:szCs w:val="18"/>
          <w:rtl w:val="0"/>
        </w:rPr>
        <w:t xml:space="preserve">, </w:t>
      </w:r>
      <w:r>
        <w:rPr>
          <w:i w:val="1"/>
          <w:iCs w:val="1"/>
          <w:sz w:val="18"/>
          <w:szCs w:val="18"/>
          <w:rtl w:val="0"/>
        </w:rPr>
        <w:t>386</w:t>
      </w:r>
      <w:r>
        <w:rPr>
          <w:sz w:val="18"/>
          <w:szCs w:val="18"/>
          <w:rtl w:val="0"/>
        </w:rPr>
        <w:t>, 2287</w:t>
      </w:r>
      <w:r>
        <w:rPr>
          <w:sz w:val="18"/>
          <w:szCs w:val="18"/>
          <w:rtl w:val="0"/>
        </w:rPr>
        <w:t>–</w:t>
      </w:r>
      <w:r>
        <w:rPr>
          <w:sz w:val="18"/>
          <w:szCs w:val="18"/>
          <w:rtl w:val="0"/>
        </w:rPr>
        <w:t>2323. [</w:t>
      </w:r>
      <w:r>
        <w:rPr>
          <w:color w:val="0000ff"/>
          <w:sz w:val="18"/>
          <w:szCs w:val="18"/>
          <w:rtl w:val="0"/>
          <w:lang w:val="it-IT"/>
        </w:rPr>
        <w:t>CrossRef</w:t>
      </w:r>
      <w:r>
        <w:rPr>
          <w:sz w:val="18"/>
          <w:szCs w:val="18"/>
          <w:rtl w:val="0"/>
        </w:rPr>
        <w:t>]</w:t>
      </w:r>
    </w:p>
    <w:p>
      <w:pPr>
        <w:pStyle w:val="Body"/>
        <w:numPr>
          <w:ilvl w:val="0"/>
          <w:numId w:val="2"/>
        </w:numPr>
        <w:rPr>
          <w:sz w:val="18"/>
          <w:szCs w:val="18"/>
          <w:lang w:val="en-US"/>
        </w:rPr>
      </w:pPr>
      <w:r>
        <w:rPr>
          <w:sz w:val="18"/>
          <w:szCs w:val="18"/>
          <w:rtl w:val="0"/>
          <w:lang w:val="en-US"/>
        </w:rPr>
        <w:t xml:space="preserve">Whitlock, G.; Lewington, S.; Sherliker, P.; Clarke, R.; Emberson, J.; Halsey, J.; Qizilbash, N.; Collins, R.; Peto, R. Body-mass index and cause-specific mortality in 900,000 adults: Collaborative analyses of 57 prospective studies. </w:t>
      </w:r>
      <w:r>
        <w:rPr>
          <w:i w:val="1"/>
          <w:iCs w:val="1"/>
          <w:sz w:val="18"/>
          <w:szCs w:val="18"/>
          <w:rtl w:val="0"/>
          <w:lang w:val="fr-FR"/>
        </w:rPr>
        <w:t xml:space="preserve">Lancet </w:t>
      </w:r>
      <w:r>
        <w:rPr>
          <w:b w:val="1"/>
          <w:bCs w:val="1"/>
          <w:sz w:val="18"/>
          <w:szCs w:val="18"/>
          <w:rtl w:val="0"/>
        </w:rPr>
        <w:t>2009</w:t>
      </w:r>
      <w:r>
        <w:rPr>
          <w:sz w:val="18"/>
          <w:szCs w:val="18"/>
          <w:rtl w:val="0"/>
        </w:rPr>
        <w:t xml:space="preserve">, </w:t>
      </w:r>
      <w:r>
        <w:rPr>
          <w:i w:val="1"/>
          <w:iCs w:val="1"/>
          <w:sz w:val="18"/>
          <w:szCs w:val="18"/>
          <w:rtl w:val="0"/>
        </w:rPr>
        <w:t>373</w:t>
      </w:r>
      <w:r>
        <w:rPr>
          <w:sz w:val="18"/>
          <w:szCs w:val="18"/>
          <w:rtl w:val="0"/>
        </w:rPr>
        <w:t>, 1083</w:t>
      </w:r>
      <w:r>
        <w:rPr>
          <w:sz w:val="18"/>
          <w:szCs w:val="18"/>
          <w:rtl w:val="0"/>
        </w:rPr>
        <w:t>–</w:t>
      </w:r>
      <w:r>
        <w:rPr>
          <w:sz w:val="18"/>
          <w:szCs w:val="18"/>
          <w:rtl w:val="0"/>
          <w:lang w:val="pt-PT"/>
        </w:rPr>
        <w:t>1096. [</w:t>
      </w:r>
      <w:r>
        <w:rPr>
          <w:color w:val="0000ff"/>
          <w:sz w:val="18"/>
          <w:szCs w:val="18"/>
          <w:rtl w:val="0"/>
        </w:rPr>
        <w:t>PubMed</w:t>
      </w:r>
      <w:r>
        <w:rPr>
          <w:sz w:val="18"/>
          <w:szCs w:val="18"/>
          <w:rtl w:val="0"/>
        </w:rPr>
        <w:t xml:space="preserve">] </w:t>
      </w:r>
      <w:r>
        <w:rPr>
          <w:sz w:val="18"/>
          <w:szCs w:val="18"/>
          <w:rtl w:val="0"/>
          <w:lang w:val="en-US"/>
        </w:rPr>
        <w:t xml:space="preserve"> </w:t>
      </w:r>
    </w:p>
    <w:p>
      <w:pPr>
        <w:pStyle w:val="Body"/>
        <w:numPr>
          <w:ilvl w:val="0"/>
          <w:numId w:val="2"/>
        </w:numPr>
        <w:rPr>
          <w:sz w:val="18"/>
          <w:szCs w:val="18"/>
          <w:lang w:val="en-US"/>
        </w:rPr>
      </w:pPr>
      <w:r>
        <w:rPr>
          <w:sz w:val="18"/>
          <w:szCs w:val="18"/>
          <w:rtl w:val="0"/>
          <w:lang w:val="en-US"/>
        </w:rPr>
        <w:t xml:space="preserve">Sun, Q.; Townsend, M.K.; Okereke, O.I.; Franco, O.H.; Hu, F.B.; Grodstein, F. Adiposity and weight change in mid-life in relation to healthy survival after age 70 in women: Prospective cohort study. </w:t>
      </w:r>
      <w:r>
        <w:rPr>
          <w:i w:val="1"/>
          <w:iCs w:val="1"/>
          <w:sz w:val="18"/>
          <w:szCs w:val="18"/>
          <w:rtl w:val="0"/>
        </w:rPr>
        <w:t xml:space="preserve">BMJ </w:t>
      </w:r>
      <w:r>
        <w:rPr>
          <w:b w:val="1"/>
          <w:bCs w:val="1"/>
          <w:sz w:val="18"/>
          <w:szCs w:val="18"/>
          <w:rtl w:val="0"/>
        </w:rPr>
        <w:t>2009</w:t>
      </w:r>
      <w:r>
        <w:rPr>
          <w:sz w:val="18"/>
          <w:szCs w:val="18"/>
          <w:rtl w:val="0"/>
        </w:rPr>
        <w:t xml:space="preserve">, </w:t>
      </w:r>
      <w:r>
        <w:rPr>
          <w:i w:val="1"/>
          <w:iCs w:val="1"/>
          <w:sz w:val="18"/>
          <w:szCs w:val="18"/>
          <w:rtl w:val="0"/>
        </w:rPr>
        <w:t>339</w:t>
      </w:r>
      <w:r>
        <w:rPr>
          <w:sz w:val="18"/>
          <w:szCs w:val="18"/>
          <w:rtl w:val="0"/>
          <w:lang w:val="pt-PT"/>
        </w:rPr>
        <w:t>, b3796. [</w:t>
      </w:r>
      <w:r>
        <w:rPr>
          <w:color w:val="0000ff"/>
          <w:sz w:val="18"/>
          <w:szCs w:val="18"/>
          <w:rtl w:val="0"/>
          <w:lang w:val="it-IT"/>
        </w:rPr>
        <w:t>CrossRef</w:t>
      </w:r>
      <w:r>
        <w:rPr>
          <w:sz w:val="18"/>
          <w:szCs w:val="18"/>
          <w:rtl w:val="0"/>
        </w:rPr>
        <w:t>] [</w:t>
      </w:r>
      <w:r>
        <w:rPr>
          <w:color w:val="0000ff"/>
          <w:sz w:val="18"/>
          <w:szCs w:val="18"/>
          <w:rtl w:val="0"/>
        </w:rPr>
        <w:t>PubMed</w:t>
      </w:r>
      <w:r>
        <w:rPr>
          <w:sz w:val="18"/>
          <w:szCs w:val="18"/>
          <w:rtl w:val="0"/>
        </w:rPr>
        <w:t xml:space="preserve">] </w:t>
      </w:r>
      <w:r>
        <w:rPr>
          <w:sz w:val="18"/>
          <w:szCs w:val="18"/>
          <w:rtl w:val="0"/>
          <w:lang w:val="en-US"/>
        </w:rPr>
        <w:t xml:space="preserve"> </w:t>
      </w:r>
    </w:p>
    <w:p>
      <w:pPr>
        <w:pStyle w:val="Body"/>
        <w:numPr>
          <w:ilvl w:val="0"/>
          <w:numId w:val="2"/>
        </w:numPr>
        <w:rPr>
          <w:sz w:val="18"/>
          <w:szCs w:val="18"/>
          <w:lang w:val="en-US"/>
        </w:rPr>
      </w:pPr>
      <w:r>
        <w:rPr>
          <w:sz w:val="18"/>
          <w:szCs w:val="18"/>
          <w:rtl w:val="0"/>
          <w:lang w:val="en-US"/>
        </w:rPr>
        <w:t xml:space="preserve">Knowler, W.C.; Fowler, S.E.; Hamman, R.F.; Christophi, C.A.; Hoffman, H.J.; Brenneman, A.T.; Brown-Friday, J.O.; Goldberg, R.; Venditti, E.; Nathan, D.M. 10-year follow-up of diabetes incidence and weight loss in the diabetes prevention program outcomes study. </w:t>
      </w:r>
      <w:r>
        <w:rPr>
          <w:i w:val="1"/>
          <w:iCs w:val="1"/>
          <w:sz w:val="18"/>
          <w:szCs w:val="18"/>
          <w:rtl w:val="0"/>
          <w:lang w:val="fr-FR"/>
        </w:rPr>
        <w:t xml:space="preserve">Lancet </w:t>
      </w:r>
      <w:r>
        <w:rPr>
          <w:b w:val="1"/>
          <w:bCs w:val="1"/>
          <w:sz w:val="18"/>
          <w:szCs w:val="18"/>
          <w:rtl w:val="0"/>
        </w:rPr>
        <w:t>2009</w:t>
      </w:r>
      <w:r>
        <w:rPr>
          <w:sz w:val="18"/>
          <w:szCs w:val="18"/>
          <w:rtl w:val="0"/>
        </w:rPr>
        <w:t xml:space="preserve">, </w:t>
      </w:r>
      <w:r>
        <w:rPr>
          <w:i w:val="1"/>
          <w:iCs w:val="1"/>
          <w:sz w:val="18"/>
          <w:szCs w:val="18"/>
          <w:rtl w:val="0"/>
        </w:rPr>
        <w:t>374</w:t>
      </w:r>
      <w:r>
        <w:rPr>
          <w:sz w:val="18"/>
          <w:szCs w:val="18"/>
          <w:rtl w:val="0"/>
        </w:rPr>
        <w:t>, 1677</w:t>
      </w:r>
      <w:r>
        <w:rPr>
          <w:sz w:val="18"/>
          <w:szCs w:val="18"/>
          <w:rtl w:val="0"/>
        </w:rPr>
        <w:t>–</w:t>
      </w:r>
      <w:r>
        <w:rPr>
          <w:sz w:val="18"/>
          <w:szCs w:val="18"/>
          <w:rtl w:val="0"/>
        </w:rPr>
        <w:t>1686. [</w:t>
      </w:r>
      <w:r>
        <w:rPr>
          <w:color w:val="0000ff"/>
          <w:sz w:val="18"/>
          <w:szCs w:val="18"/>
          <w:rtl w:val="0"/>
        </w:rPr>
        <w:t>PubMed</w:t>
      </w:r>
      <w:r>
        <w:rPr>
          <w:sz w:val="18"/>
          <w:szCs w:val="18"/>
          <w:rtl w:val="0"/>
        </w:rPr>
        <w:t xml:space="preserve">] </w:t>
      </w:r>
      <w:r>
        <w:rPr>
          <w:sz w:val="18"/>
          <w:szCs w:val="18"/>
          <w:rtl w:val="0"/>
          <w:lang w:val="en-US"/>
        </w:rPr>
        <w:t xml:space="preserve"> </w:t>
      </w:r>
    </w:p>
    <w:p>
      <w:pPr>
        <w:pStyle w:val="Body"/>
        <w:numPr>
          <w:ilvl w:val="0"/>
          <w:numId w:val="2"/>
        </w:numPr>
        <w:rPr>
          <w:sz w:val="18"/>
          <w:szCs w:val="18"/>
          <w:lang w:val="en-US"/>
        </w:rPr>
      </w:pPr>
      <w:r>
        <w:rPr>
          <w:sz w:val="18"/>
          <w:szCs w:val="18"/>
          <w:rtl w:val="0"/>
          <w:lang w:val="en-US"/>
        </w:rPr>
        <w:t xml:space="preserve">Kritchevsky, </w:t>
      </w:r>
      <w:r>
        <w:rPr>
          <w:sz w:val="18"/>
          <w:szCs w:val="18"/>
          <w:rtl w:val="0"/>
          <w:lang w:val="en-US"/>
        </w:rPr>
        <w:t xml:space="preserve">S.B.; Beavers, K.M.; Miller, M.E.; Shea, M.K.; Houston, D.K.; Kitzman, D.W.; Nicklas, B.J. Intentional weight loss and all-cause mortality: A meta-analysis of randomized clinical trials. </w:t>
      </w:r>
      <w:r>
        <w:rPr>
          <w:i w:val="1"/>
          <w:iCs w:val="1"/>
          <w:sz w:val="18"/>
          <w:szCs w:val="18"/>
          <w:rtl w:val="0"/>
          <w:lang w:val="de-DE"/>
        </w:rPr>
        <w:t xml:space="preserve">PLoS ONE </w:t>
      </w:r>
      <w:r>
        <w:rPr>
          <w:b w:val="1"/>
          <w:bCs w:val="1"/>
          <w:sz w:val="18"/>
          <w:szCs w:val="18"/>
          <w:rtl w:val="0"/>
        </w:rPr>
        <w:t>2015</w:t>
      </w:r>
      <w:r>
        <w:rPr>
          <w:sz w:val="18"/>
          <w:szCs w:val="18"/>
          <w:rtl w:val="0"/>
        </w:rPr>
        <w:t xml:space="preserve">, </w:t>
      </w:r>
      <w:r>
        <w:rPr>
          <w:i w:val="1"/>
          <w:iCs w:val="1"/>
          <w:sz w:val="18"/>
          <w:szCs w:val="18"/>
          <w:rtl w:val="0"/>
        </w:rPr>
        <w:t>10</w:t>
      </w:r>
      <w:r>
        <w:rPr>
          <w:sz w:val="18"/>
          <w:szCs w:val="18"/>
          <w:rtl w:val="0"/>
          <w:lang w:val="en-US"/>
        </w:rPr>
        <w:t>, e0121993. [</w:t>
      </w:r>
      <w:r>
        <w:rPr>
          <w:color w:val="0000ff"/>
          <w:sz w:val="18"/>
          <w:szCs w:val="18"/>
          <w:rtl w:val="0"/>
          <w:lang w:val="it-IT"/>
        </w:rPr>
        <w:t>CrossRef</w:t>
      </w:r>
      <w:r>
        <w:rPr>
          <w:sz w:val="18"/>
          <w:szCs w:val="18"/>
          <w:rtl w:val="0"/>
        </w:rPr>
        <w:t>] [</w:t>
      </w:r>
      <w:r>
        <w:rPr>
          <w:color w:val="0000ff"/>
          <w:sz w:val="18"/>
          <w:szCs w:val="18"/>
          <w:rtl w:val="0"/>
        </w:rPr>
        <w:t>PubMed</w:t>
      </w:r>
      <w:r>
        <w:rPr>
          <w:sz w:val="18"/>
          <w:szCs w:val="18"/>
          <w:rtl w:val="0"/>
        </w:rPr>
        <w:t xml:space="preserve">] </w:t>
      </w:r>
    </w:p>
    <w:p>
      <w:pPr>
        <w:pStyle w:val="Body"/>
        <w:numPr>
          <w:ilvl w:val="0"/>
          <w:numId w:val="2"/>
        </w:numPr>
        <w:rPr>
          <w:sz w:val="18"/>
          <w:szCs w:val="18"/>
          <w:lang w:val="en-US"/>
        </w:rPr>
      </w:pPr>
      <w:r>
        <w:rPr>
          <w:sz w:val="18"/>
          <w:szCs w:val="18"/>
          <w:rtl w:val="0"/>
          <w:lang w:val="en-US"/>
        </w:rPr>
        <w:t xml:space="preserve">Veronese, </w:t>
      </w:r>
      <w:r>
        <w:rPr>
          <w:sz w:val="18"/>
          <w:szCs w:val="18"/>
          <w:rtl w:val="0"/>
          <w:lang w:val="en-US"/>
        </w:rPr>
        <w:t xml:space="preserve">N.; Facchini, S.; Stubbs, B.; Luchini, C.; Solmi, M.; Manzato, E.; Sergi, G.; Maggi, S.; Cosco, T.; Fontana, L. Weight loss is associated with improvements in cognitive function among overweight and obese people: A systematic review and meta-analysis. </w:t>
      </w:r>
      <w:r>
        <w:rPr>
          <w:i w:val="1"/>
          <w:iCs w:val="1"/>
          <w:sz w:val="18"/>
          <w:szCs w:val="18"/>
          <w:rtl w:val="0"/>
        </w:rPr>
        <w:t xml:space="preserve">Neurosci. Biobehav. Rev. </w:t>
      </w:r>
      <w:r>
        <w:rPr>
          <w:b w:val="1"/>
          <w:bCs w:val="1"/>
          <w:sz w:val="18"/>
          <w:szCs w:val="18"/>
          <w:rtl w:val="0"/>
        </w:rPr>
        <w:t>2016</w:t>
      </w:r>
      <w:r>
        <w:rPr>
          <w:sz w:val="18"/>
          <w:szCs w:val="18"/>
          <w:rtl w:val="0"/>
        </w:rPr>
        <w:t xml:space="preserve">, </w:t>
      </w:r>
      <w:r>
        <w:rPr>
          <w:i w:val="1"/>
          <w:iCs w:val="1"/>
          <w:sz w:val="18"/>
          <w:szCs w:val="18"/>
          <w:rtl w:val="0"/>
        </w:rPr>
        <w:t>72</w:t>
      </w:r>
      <w:r>
        <w:rPr>
          <w:sz w:val="18"/>
          <w:szCs w:val="18"/>
          <w:rtl w:val="0"/>
        </w:rPr>
        <w:t>, 87</w:t>
      </w:r>
      <w:r>
        <w:rPr>
          <w:sz w:val="18"/>
          <w:szCs w:val="18"/>
          <w:rtl w:val="0"/>
        </w:rPr>
        <w:t>–</w:t>
      </w:r>
      <w:r>
        <w:rPr>
          <w:sz w:val="18"/>
          <w:szCs w:val="18"/>
          <w:rtl w:val="0"/>
        </w:rPr>
        <w:t>94. [</w:t>
      </w:r>
      <w:r>
        <w:rPr>
          <w:color w:val="0000ff"/>
          <w:sz w:val="18"/>
          <w:szCs w:val="18"/>
          <w:rtl w:val="0"/>
          <w:lang w:val="it-IT"/>
        </w:rPr>
        <w:t>CrossRef</w:t>
      </w:r>
      <w:r>
        <w:rPr>
          <w:sz w:val="18"/>
          <w:szCs w:val="18"/>
          <w:rtl w:val="0"/>
        </w:rPr>
        <w:t>] [</w:t>
      </w:r>
      <w:r>
        <w:rPr>
          <w:color w:val="0000ff"/>
          <w:sz w:val="18"/>
          <w:szCs w:val="18"/>
          <w:rtl w:val="0"/>
        </w:rPr>
        <w:t>PubMed</w:t>
      </w:r>
      <w:r>
        <w:rPr>
          <w:sz w:val="18"/>
          <w:szCs w:val="18"/>
          <w:rtl w:val="0"/>
        </w:rPr>
        <w:t xml:space="preserve">] </w:t>
      </w:r>
    </w:p>
    <w:p>
      <w:pPr>
        <w:pStyle w:val="Body"/>
        <w:numPr>
          <w:ilvl w:val="0"/>
          <w:numId w:val="2"/>
        </w:numPr>
        <w:rPr>
          <w:sz w:val="18"/>
          <w:szCs w:val="18"/>
          <w:lang w:val="en-US"/>
        </w:rPr>
      </w:pPr>
      <w:r>
        <w:rPr>
          <w:sz w:val="18"/>
          <w:szCs w:val="18"/>
          <w:rtl w:val="0"/>
          <w:lang w:val="en-US"/>
        </w:rPr>
        <w:t xml:space="preserve">Chung, </w:t>
      </w:r>
      <w:r>
        <w:rPr>
          <w:sz w:val="18"/>
          <w:szCs w:val="18"/>
          <w:rtl w:val="0"/>
          <w:lang w:val="en-US"/>
        </w:rPr>
        <w:t xml:space="preserve">K.W.; Kim, D.H.; Park, M.H.; Choi, Y.J.; Kim, N.D.; Lee, J.; Yu, B.P.; Chung, H.Y. Recent advances in calorie restriction research on aging. </w:t>
      </w:r>
      <w:r>
        <w:rPr>
          <w:i w:val="1"/>
          <w:iCs w:val="1"/>
          <w:sz w:val="18"/>
          <w:szCs w:val="18"/>
          <w:rtl w:val="0"/>
          <w:lang w:val="it-IT"/>
        </w:rPr>
        <w:t xml:space="preserve">Exp. Gerontol. </w:t>
      </w:r>
      <w:r>
        <w:rPr>
          <w:b w:val="1"/>
          <w:bCs w:val="1"/>
          <w:sz w:val="18"/>
          <w:szCs w:val="18"/>
          <w:rtl w:val="0"/>
        </w:rPr>
        <w:t>2013</w:t>
      </w:r>
      <w:r>
        <w:rPr>
          <w:sz w:val="18"/>
          <w:szCs w:val="18"/>
          <w:rtl w:val="0"/>
        </w:rPr>
        <w:t xml:space="preserve">, </w:t>
      </w:r>
      <w:r>
        <w:rPr>
          <w:i w:val="1"/>
          <w:iCs w:val="1"/>
          <w:sz w:val="18"/>
          <w:szCs w:val="18"/>
          <w:rtl w:val="0"/>
        </w:rPr>
        <w:t>48</w:t>
      </w:r>
      <w:r>
        <w:rPr>
          <w:sz w:val="18"/>
          <w:szCs w:val="18"/>
          <w:rtl w:val="0"/>
        </w:rPr>
        <w:t>, 1049</w:t>
      </w:r>
      <w:r>
        <w:rPr>
          <w:sz w:val="18"/>
          <w:szCs w:val="18"/>
          <w:rtl w:val="0"/>
        </w:rPr>
        <w:t>–</w:t>
      </w:r>
      <w:r>
        <w:rPr>
          <w:sz w:val="18"/>
          <w:szCs w:val="18"/>
          <w:rtl w:val="0"/>
          <w:lang w:val="pt-PT"/>
        </w:rPr>
        <w:t>1053. [</w:t>
      </w:r>
      <w:r>
        <w:rPr>
          <w:color w:val="0000ff"/>
          <w:sz w:val="18"/>
          <w:szCs w:val="18"/>
          <w:rtl w:val="0"/>
          <w:lang w:val="it-IT"/>
        </w:rPr>
        <w:t>CrossRef</w:t>
      </w:r>
      <w:r>
        <w:rPr>
          <w:sz w:val="18"/>
          <w:szCs w:val="18"/>
          <w:rtl w:val="0"/>
        </w:rPr>
        <w:t>] [</w:t>
      </w:r>
      <w:r>
        <w:rPr>
          <w:color w:val="0000ff"/>
          <w:sz w:val="18"/>
          <w:szCs w:val="18"/>
          <w:rtl w:val="0"/>
        </w:rPr>
        <w:t>PubMed</w:t>
      </w:r>
      <w:r>
        <w:rPr>
          <w:sz w:val="18"/>
          <w:szCs w:val="18"/>
          <w:rtl w:val="0"/>
        </w:rPr>
        <w:t xml:space="preserve">] </w:t>
      </w:r>
    </w:p>
    <w:p>
      <w:pPr>
        <w:pStyle w:val="Body"/>
        <w:numPr>
          <w:ilvl w:val="0"/>
          <w:numId w:val="2"/>
        </w:numPr>
        <w:rPr>
          <w:sz w:val="18"/>
          <w:szCs w:val="18"/>
          <w:lang w:val="en-US"/>
        </w:rPr>
      </w:pPr>
      <w:r>
        <w:rPr>
          <w:sz w:val="18"/>
          <w:szCs w:val="18"/>
          <w:rtl w:val="0"/>
          <w:lang w:val="en-US"/>
        </w:rPr>
        <w:t xml:space="preserve">Anastasiou, </w:t>
      </w:r>
      <w:r>
        <w:rPr>
          <w:sz w:val="18"/>
          <w:szCs w:val="18"/>
          <w:rtl w:val="0"/>
          <w:lang w:val="en-US"/>
        </w:rPr>
        <w:t xml:space="preserve">C.A.; Karfopoulou, E.; Yannakoulia, M. Weight regaining: From statistics and behaviors to physiology and metabolism. </w:t>
      </w:r>
      <w:r>
        <w:rPr>
          <w:i w:val="1"/>
          <w:iCs w:val="1"/>
          <w:sz w:val="18"/>
          <w:szCs w:val="18"/>
          <w:rtl w:val="0"/>
          <w:lang w:val="en-US"/>
        </w:rPr>
        <w:t xml:space="preserve">Metabolism </w:t>
      </w:r>
      <w:r>
        <w:rPr>
          <w:b w:val="1"/>
          <w:bCs w:val="1"/>
          <w:sz w:val="18"/>
          <w:szCs w:val="18"/>
          <w:rtl w:val="0"/>
        </w:rPr>
        <w:t>2015</w:t>
      </w:r>
      <w:r>
        <w:rPr>
          <w:sz w:val="18"/>
          <w:szCs w:val="18"/>
          <w:rtl w:val="0"/>
        </w:rPr>
        <w:t xml:space="preserve">, </w:t>
      </w:r>
      <w:r>
        <w:rPr>
          <w:i w:val="1"/>
          <w:iCs w:val="1"/>
          <w:sz w:val="18"/>
          <w:szCs w:val="18"/>
          <w:rtl w:val="0"/>
        </w:rPr>
        <w:t>64</w:t>
      </w:r>
      <w:r>
        <w:rPr>
          <w:sz w:val="18"/>
          <w:szCs w:val="18"/>
          <w:rtl w:val="0"/>
        </w:rPr>
        <w:t>, 1395</w:t>
      </w:r>
      <w:r>
        <w:rPr>
          <w:sz w:val="18"/>
          <w:szCs w:val="18"/>
          <w:rtl w:val="0"/>
        </w:rPr>
        <w:t>–</w:t>
      </w:r>
      <w:r>
        <w:rPr>
          <w:sz w:val="18"/>
          <w:szCs w:val="18"/>
          <w:rtl w:val="0"/>
          <w:lang w:val="pt-PT"/>
        </w:rPr>
        <w:t>1407. [</w:t>
      </w:r>
      <w:r>
        <w:rPr>
          <w:color w:val="0000ff"/>
          <w:sz w:val="18"/>
          <w:szCs w:val="18"/>
          <w:rtl w:val="0"/>
          <w:lang w:val="it-IT"/>
        </w:rPr>
        <w:t>CrossRef</w:t>
      </w:r>
      <w:r>
        <w:rPr>
          <w:sz w:val="18"/>
          <w:szCs w:val="18"/>
          <w:rtl w:val="0"/>
        </w:rPr>
        <w:t>] [</w:t>
      </w:r>
      <w:r>
        <w:rPr>
          <w:color w:val="0000ff"/>
          <w:sz w:val="18"/>
          <w:szCs w:val="18"/>
          <w:rtl w:val="0"/>
        </w:rPr>
        <w:t>PubMed</w:t>
      </w:r>
      <w:r>
        <w:rPr>
          <w:sz w:val="18"/>
          <w:szCs w:val="18"/>
          <w:rtl w:val="0"/>
        </w:rPr>
        <w:t>]</w:t>
      </w:r>
    </w:p>
    <w:p>
      <w:pPr>
        <w:pStyle w:val="Body"/>
        <w:numPr>
          <w:ilvl w:val="0"/>
          <w:numId w:val="2"/>
        </w:numPr>
        <w:rPr>
          <w:sz w:val="18"/>
          <w:szCs w:val="18"/>
          <w:lang w:val="en-US"/>
        </w:rPr>
      </w:pPr>
      <w:r>
        <w:rPr>
          <w:sz w:val="18"/>
          <w:szCs w:val="18"/>
          <w:rtl w:val="0"/>
          <w:lang w:val="en-US"/>
        </w:rPr>
        <w:t xml:space="preserve">Henry, </w:t>
      </w:r>
      <w:r>
        <w:rPr>
          <w:sz w:val="18"/>
          <w:szCs w:val="18"/>
          <w:rtl w:val="0"/>
          <w:lang w:val="en-US"/>
        </w:rPr>
        <w:t xml:space="preserve">R.R.; Scheaffer, L.; Olefsky, J.M. Glycemic effects of intensive caloric restriction and isocaloric refeeding in noninsulin-dependent diabetes mellitus. </w:t>
      </w:r>
      <w:r>
        <w:rPr>
          <w:i w:val="1"/>
          <w:iCs w:val="1"/>
          <w:sz w:val="18"/>
          <w:szCs w:val="18"/>
          <w:rtl w:val="0"/>
          <w:lang w:val="it-IT"/>
        </w:rPr>
        <w:t xml:space="preserve">J. Clin. Endocrinol. Metab. </w:t>
      </w:r>
      <w:r>
        <w:rPr>
          <w:b w:val="1"/>
          <w:bCs w:val="1"/>
          <w:sz w:val="18"/>
          <w:szCs w:val="18"/>
          <w:rtl w:val="0"/>
        </w:rPr>
        <w:t>1985</w:t>
      </w:r>
      <w:r>
        <w:rPr>
          <w:sz w:val="18"/>
          <w:szCs w:val="18"/>
          <w:rtl w:val="0"/>
        </w:rPr>
        <w:t xml:space="preserve">, </w:t>
      </w:r>
      <w:r>
        <w:rPr>
          <w:i w:val="1"/>
          <w:iCs w:val="1"/>
          <w:sz w:val="18"/>
          <w:szCs w:val="18"/>
          <w:rtl w:val="0"/>
        </w:rPr>
        <w:t>61</w:t>
      </w:r>
      <w:r>
        <w:rPr>
          <w:sz w:val="18"/>
          <w:szCs w:val="18"/>
          <w:rtl w:val="0"/>
        </w:rPr>
        <w:t>, 917</w:t>
      </w:r>
      <w:r>
        <w:rPr>
          <w:sz w:val="18"/>
          <w:szCs w:val="18"/>
          <w:rtl w:val="0"/>
        </w:rPr>
        <w:t>–</w:t>
      </w:r>
      <w:r>
        <w:rPr>
          <w:sz w:val="18"/>
          <w:szCs w:val="18"/>
          <w:rtl w:val="0"/>
        </w:rPr>
        <w:t>925. [</w:t>
      </w:r>
      <w:r>
        <w:rPr>
          <w:color w:val="0000ff"/>
          <w:sz w:val="18"/>
          <w:szCs w:val="18"/>
          <w:rtl w:val="0"/>
          <w:lang w:val="it-IT"/>
        </w:rPr>
        <w:t>CrossRef</w:t>
      </w:r>
      <w:r>
        <w:rPr>
          <w:sz w:val="18"/>
          <w:szCs w:val="18"/>
          <w:rtl w:val="0"/>
        </w:rPr>
        <w:t>] [</w:t>
      </w:r>
      <w:r>
        <w:rPr>
          <w:color w:val="0000ff"/>
          <w:sz w:val="18"/>
          <w:szCs w:val="18"/>
          <w:rtl w:val="0"/>
        </w:rPr>
        <w:t>PubMed</w:t>
      </w:r>
      <w:r>
        <w:rPr>
          <w:sz w:val="18"/>
          <w:szCs w:val="18"/>
          <w:rtl w:val="0"/>
        </w:rPr>
        <w:t xml:space="preserve">] </w:t>
      </w:r>
    </w:p>
    <w:p>
      <w:pPr>
        <w:pStyle w:val="Body"/>
        <w:numPr>
          <w:ilvl w:val="0"/>
          <w:numId w:val="2"/>
        </w:numPr>
        <w:rPr>
          <w:sz w:val="18"/>
          <w:szCs w:val="18"/>
          <w:lang w:val="en-US"/>
        </w:rPr>
      </w:pPr>
      <w:r>
        <w:rPr>
          <w:sz w:val="18"/>
          <w:szCs w:val="18"/>
          <w:rtl w:val="0"/>
          <w:lang w:val="en-US"/>
        </w:rPr>
        <w:t xml:space="preserve">Harvie, </w:t>
      </w:r>
      <w:r>
        <w:rPr>
          <w:sz w:val="18"/>
          <w:szCs w:val="18"/>
          <w:rtl w:val="0"/>
          <w:lang w:val="en-US"/>
        </w:rPr>
        <w:t xml:space="preserve">M.N.; Pegington, M.; Mattson, M.P.; Frystyk, J.; Dillon, B.; Evans, G.; Cuzick, J.; Jebb, S.A.; Martin, B.; Cutler, R.G.; et al. The effects of intermittent or continuous energy restriction on weight loss and metabolic </w:t>
      </w:r>
      <w:r>
        <w:rPr>
          <w:sz w:val="18"/>
          <w:szCs w:val="18"/>
        </w:rPr>
        <w:br w:type="textWrapping"/>
      </w:r>
      <w:r>
        <w:rPr>
          <w:sz w:val="18"/>
          <w:szCs w:val="18"/>
          <w:rtl w:val="0"/>
          <w:lang w:val="en-US"/>
        </w:rPr>
        <w:t xml:space="preserve">disease risk markers: A randomized trial in young overweight women. </w:t>
      </w:r>
      <w:r>
        <w:rPr>
          <w:i w:val="1"/>
          <w:iCs w:val="1"/>
          <w:sz w:val="18"/>
          <w:szCs w:val="18"/>
          <w:rtl w:val="0"/>
          <w:lang w:val="pt-PT"/>
        </w:rPr>
        <w:t xml:space="preserve">Int. J. Obes. </w:t>
      </w:r>
      <w:r>
        <w:rPr>
          <w:b w:val="1"/>
          <w:bCs w:val="1"/>
          <w:sz w:val="18"/>
          <w:szCs w:val="18"/>
          <w:rtl w:val="0"/>
        </w:rPr>
        <w:t>2011</w:t>
      </w:r>
      <w:r>
        <w:rPr>
          <w:sz w:val="18"/>
          <w:szCs w:val="18"/>
          <w:rtl w:val="0"/>
        </w:rPr>
        <w:t xml:space="preserve">, </w:t>
      </w:r>
      <w:r>
        <w:rPr>
          <w:i w:val="1"/>
          <w:iCs w:val="1"/>
          <w:sz w:val="18"/>
          <w:szCs w:val="18"/>
          <w:rtl w:val="0"/>
        </w:rPr>
        <w:t>35</w:t>
      </w:r>
      <w:r>
        <w:rPr>
          <w:sz w:val="18"/>
          <w:szCs w:val="18"/>
          <w:rtl w:val="0"/>
        </w:rPr>
        <w:t>, 714</w:t>
      </w:r>
      <w:r>
        <w:rPr>
          <w:sz w:val="18"/>
          <w:szCs w:val="18"/>
          <w:rtl w:val="0"/>
        </w:rPr>
        <w:t>–</w:t>
      </w:r>
      <w:r>
        <w:rPr>
          <w:sz w:val="18"/>
          <w:szCs w:val="18"/>
          <w:rtl w:val="0"/>
        </w:rPr>
        <w:t xml:space="preserve">727. </w:t>
      </w:r>
      <w:r>
        <w:rPr>
          <w:sz w:val="18"/>
          <w:szCs w:val="18"/>
        </w:rPr>
        <w:br w:type="textWrapping"/>
      </w:r>
      <w:r>
        <w:rPr>
          <w:sz w:val="18"/>
          <w:szCs w:val="18"/>
          <w:rtl w:val="0"/>
        </w:rPr>
        <w:t>[</w:t>
      </w:r>
      <w:r>
        <w:rPr>
          <w:color w:val="0000ff"/>
          <w:sz w:val="18"/>
          <w:szCs w:val="18"/>
          <w:rtl w:val="0"/>
          <w:lang w:val="it-IT"/>
        </w:rPr>
        <w:t>CrossRef</w:t>
      </w:r>
      <w:r>
        <w:rPr>
          <w:sz w:val="18"/>
          <w:szCs w:val="18"/>
          <w:rtl w:val="0"/>
        </w:rPr>
        <w:t>] [</w:t>
      </w:r>
      <w:r>
        <w:rPr>
          <w:color w:val="0000ff"/>
          <w:sz w:val="18"/>
          <w:szCs w:val="18"/>
          <w:rtl w:val="0"/>
        </w:rPr>
        <w:t>PubMed</w:t>
      </w:r>
      <w:r>
        <w:rPr>
          <w:sz w:val="18"/>
          <w:szCs w:val="18"/>
          <w:rtl w:val="0"/>
        </w:rPr>
        <w:t>]</w:t>
      </w:r>
    </w:p>
    <w:p>
      <w:pPr>
        <w:pStyle w:val="Body"/>
        <w:numPr>
          <w:ilvl w:val="0"/>
          <w:numId w:val="2"/>
        </w:numPr>
        <w:rPr>
          <w:sz w:val="18"/>
          <w:szCs w:val="18"/>
          <w:lang w:val="en-US"/>
        </w:rPr>
      </w:pPr>
      <w:r>
        <w:rPr>
          <w:sz w:val="18"/>
          <w:szCs w:val="18"/>
          <w:rtl w:val="0"/>
          <w:lang w:val="en-US"/>
        </w:rPr>
        <w:t xml:space="preserve">Varady, </w:t>
      </w:r>
      <w:r>
        <w:rPr>
          <w:sz w:val="18"/>
          <w:szCs w:val="18"/>
          <w:rtl w:val="0"/>
          <w:lang w:val="en-US"/>
        </w:rPr>
        <w:t xml:space="preserve">K.A.; Bhutani, S.; Klempel, M.C.; Kroeger, C.M. Comparison of effects of diet versus exercise weight loss regimens on LDL and HDL particle size in obese adults. </w:t>
      </w:r>
      <w:r>
        <w:rPr>
          <w:i w:val="1"/>
          <w:iCs w:val="1"/>
          <w:sz w:val="18"/>
          <w:szCs w:val="18"/>
          <w:rtl w:val="0"/>
          <w:lang w:val="en-US"/>
        </w:rPr>
        <w:t xml:space="preserve">Lipids Health Dis. </w:t>
      </w:r>
      <w:r>
        <w:rPr>
          <w:b w:val="1"/>
          <w:bCs w:val="1"/>
          <w:sz w:val="18"/>
          <w:szCs w:val="18"/>
          <w:rtl w:val="0"/>
        </w:rPr>
        <w:t>2011</w:t>
      </w:r>
      <w:r>
        <w:rPr>
          <w:sz w:val="18"/>
          <w:szCs w:val="18"/>
          <w:rtl w:val="0"/>
        </w:rPr>
        <w:t xml:space="preserve">, </w:t>
      </w:r>
      <w:r>
        <w:rPr>
          <w:i w:val="1"/>
          <w:iCs w:val="1"/>
          <w:sz w:val="18"/>
          <w:szCs w:val="18"/>
          <w:rtl w:val="0"/>
        </w:rPr>
        <w:t>10</w:t>
      </w:r>
      <w:r>
        <w:rPr>
          <w:sz w:val="18"/>
          <w:szCs w:val="18"/>
          <w:rtl w:val="0"/>
          <w:lang w:val="pt-PT"/>
        </w:rPr>
        <w:t>, 119. [</w:t>
      </w:r>
      <w:r>
        <w:rPr>
          <w:color w:val="0000ff"/>
          <w:sz w:val="18"/>
          <w:szCs w:val="18"/>
          <w:rtl w:val="0"/>
          <w:lang w:val="it-IT"/>
        </w:rPr>
        <w:t>CrossRef</w:t>
      </w:r>
      <w:r>
        <w:rPr>
          <w:sz w:val="18"/>
          <w:szCs w:val="18"/>
          <w:rtl w:val="0"/>
        </w:rPr>
        <w:t>] [</w:t>
      </w:r>
      <w:r>
        <w:rPr>
          <w:color w:val="0000ff"/>
          <w:sz w:val="18"/>
          <w:szCs w:val="18"/>
          <w:rtl w:val="0"/>
        </w:rPr>
        <w:t>PubMed</w:t>
      </w:r>
      <w:r>
        <w:rPr>
          <w:sz w:val="18"/>
          <w:szCs w:val="18"/>
          <w:rtl w:val="0"/>
        </w:rPr>
        <w:t xml:space="preserve">] </w:t>
      </w:r>
    </w:p>
    <w:p>
      <w:pPr>
        <w:pStyle w:val="Body"/>
        <w:numPr>
          <w:ilvl w:val="0"/>
          <w:numId w:val="2"/>
        </w:numPr>
        <w:rPr>
          <w:sz w:val="18"/>
          <w:szCs w:val="18"/>
          <w:lang w:val="en-US"/>
        </w:rPr>
      </w:pPr>
      <w:r>
        <w:rPr>
          <w:sz w:val="18"/>
          <w:szCs w:val="18"/>
          <w:rtl w:val="0"/>
          <w:lang w:val="en-US"/>
        </w:rPr>
        <w:t xml:space="preserve">Heilbronn, </w:t>
      </w:r>
      <w:r>
        <w:rPr>
          <w:sz w:val="18"/>
          <w:szCs w:val="18"/>
          <w:rtl w:val="0"/>
          <w:lang w:val="en-US"/>
        </w:rPr>
        <w:t xml:space="preserve">L.K.; Smith, S.R.; Martin, C.K.; Anton, S.D.; Ravussin, E. Alternate-day fasting in nonobese subjects: Effects on body weight, body composition, and energy metabolism. </w:t>
      </w:r>
      <w:r>
        <w:rPr>
          <w:i w:val="1"/>
          <w:iCs w:val="1"/>
          <w:sz w:val="18"/>
          <w:szCs w:val="18"/>
          <w:rtl w:val="0"/>
          <w:lang w:val="pt-PT"/>
        </w:rPr>
        <w:t xml:space="preserve">Am. J. Clin. Nutr. </w:t>
      </w:r>
      <w:r>
        <w:rPr>
          <w:b w:val="1"/>
          <w:bCs w:val="1"/>
          <w:sz w:val="18"/>
          <w:szCs w:val="18"/>
          <w:rtl w:val="0"/>
        </w:rPr>
        <w:t>2005</w:t>
      </w:r>
      <w:r>
        <w:rPr>
          <w:sz w:val="18"/>
          <w:szCs w:val="18"/>
          <w:rtl w:val="0"/>
        </w:rPr>
        <w:t xml:space="preserve">, </w:t>
      </w:r>
      <w:r>
        <w:rPr>
          <w:i w:val="1"/>
          <w:iCs w:val="1"/>
          <w:sz w:val="18"/>
          <w:szCs w:val="18"/>
          <w:rtl w:val="0"/>
        </w:rPr>
        <w:t>81</w:t>
      </w:r>
      <w:r>
        <w:rPr>
          <w:sz w:val="18"/>
          <w:szCs w:val="18"/>
          <w:rtl w:val="0"/>
        </w:rPr>
        <w:t>, 69</w:t>
      </w:r>
      <w:r>
        <w:rPr>
          <w:sz w:val="18"/>
          <w:szCs w:val="18"/>
          <w:rtl w:val="0"/>
        </w:rPr>
        <w:t>–</w:t>
      </w:r>
      <w:r>
        <w:rPr>
          <w:sz w:val="18"/>
          <w:szCs w:val="18"/>
          <w:rtl w:val="0"/>
        </w:rPr>
        <w:t>73. [</w:t>
      </w:r>
      <w:r>
        <w:rPr>
          <w:color w:val="0000ff"/>
          <w:sz w:val="18"/>
          <w:szCs w:val="18"/>
          <w:rtl w:val="0"/>
        </w:rPr>
        <w:t>PubMed</w:t>
      </w:r>
      <w:r>
        <w:rPr>
          <w:sz w:val="18"/>
          <w:szCs w:val="18"/>
          <w:rtl w:val="0"/>
        </w:rPr>
        <w:t>]</w:t>
      </w:r>
    </w:p>
    <w:p>
      <w:pPr>
        <w:pStyle w:val="Body"/>
        <w:numPr>
          <w:ilvl w:val="0"/>
          <w:numId w:val="2"/>
        </w:numPr>
        <w:rPr>
          <w:sz w:val="18"/>
          <w:szCs w:val="18"/>
          <w:lang w:val="en-US"/>
        </w:rPr>
      </w:pPr>
      <w:r>
        <w:rPr>
          <w:sz w:val="18"/>
          <w:szCs w:val="18"/>
          <w:rtl w:val="0"/>
          <w:lang w:val="en-US"/>
        </w:rPr>
        <w:t xml:space="preserve">Soeters, </w:t>
      </w:r>
      <w:r>
        <w:rPr>
          <w:sz w:val="18"/>
          <w:szCs w:val="18"/>
          <w:rtl w:val="0"/>
          <w:lang w:val="en-US"/>
        </w:rPr>
        <w:t xml:space="preserve">M.R.; Lammers, N.M.; Dubbelhuis, P.F.; Ackermans, M.; Jonkers-Schuitema, C.F.; Fliers, E.; Sauerwein, H.P.; Aerts, J.M.; Serlie, M.J. Intermittent fasting does not affect whole-body glucose, lipid, or protein metabolism. </w:t>
      </w:r>
      <w:r>
        <w:rPr>
          <w:i w:val="1"/>
          <w:iCs w:val="1"/>
          <w:sz w:val="18"/>
          <w:szCs w:val="18"/>
          <w:rtl w:val="0"/>
          <w:lang w:val="pt-PT"/>
        </w:rPr>
        <w:t xml:space="preserve">Am. J. Clin. Nutr. </w:t>
      </w:r>
      <w:r>
        <w:rPr>
          <w:b w:val="1"/>
          <w:bCs w:val="1"/>
          <w:sz w:val="18"/>
          <w:szCs w:val="18"/>
          <w:rtl w:val="0"/>
        </w:rPr>
        <w:t>2009</w:t>
      </w:r>
      <w:r>
        <w:rPr>
          <w:sz w:val="18"/>
          <w:szCs w:val="18"/>
          <w:rtl w:val="0"/>
        </w:rPr>
        <w:t xml:space="preserve">, </w:t>
      </w:r>
      <w:r>
        <w:rPr>
          <w:i w:val="1"/>
          <w:iCs w:val="1"/>
          <w:sz w:val="18"/>
          <w:szCs w:val="18"/>
          <w:rtl w:val="0"/>
        </w:rPr>
        <w:t>90</w:t>
      </w:r>
      <w:r>
        <w:rPr>
          <w:sz w:val="18"/>
          <w:szCs w:val="18"/>
          <w:rtl w:val="0"/>
        </w:rPr>
        <w:t>, 1244</w:t>
      </w:r>
      <w:r>
        <w:rPr>
          <w:sz w:val="18"/>
          <w:szCs w:val="18"/>
          <w:rtl w:val="0"/>
        </w:rPr>
        <w:t>–</w:t>
      </w:r>
      <w:r>
        <w:rPr>
          <w:sz w:val="18"/>
          <w:szCs w:val="18"/>
          <w:rtl w:val="0"/>
        </w:rPr>
        <w:t>1251. [</w:t>
      </w:r>
      <w:r>
        <w:rPr>
          <w:color w:val="0000ff"/>
          <w:sz w:val="18"/>
          <w:szCs w:val="18"/>
          <w:rtl w:val="0"/>
          <w:lang w:val="it-IT"/>
        </w:rPr>
        <w:t>CrossRef</w:t>
      </w:r>
      <w:r>
        <w:rPr>
          <w:sz w:val="18"/>
          <w:szCs w:val="18"/>
          <w:rtl w:val="0"/>
        </w:rPr>
        <w:t>] [</w:t>
      </w:r>
      <w:r>
        <w:rPr>
          <w:color w:val="0000ff"/>
          <w:sz w:val="18"/>
          <w:szCs w:val="18"/>
          <w:rtl w:val="0"/>
        </w:rPr>
        <w:t>PubMed</w:t>
      </w:r>
      <w:r>
        <w:rPr>
          <w:sz w:val="18"/>
          <w:szCs w:val="18"/>
          <w:rtl w:val="0"/>
        </w:rPr>
        <w:t xml:space="preserve">] </w:t>
      </w:r>
    </w:p>
    <w:p>
      <w:pPr>
        <w:pStyle w:val="Body"/>
        <w:numPr>
          <w:ilvl w:val="0"/>
          <w:numId w:val="2"/>
        </w:numPr>
        <w:rPr>
          <w:sz w:val="18"/>
          <w:szCs w:val="18"/>
          <w:lang w:val="en-US"/>
        </w:rPr>
      </w:pPr>
      <w:r>
        <w:rPr>
          <w:sz w:val="18"/>
          <w:szCs w:val="18"/>
          <w:rtl w:val="0"/>
          <w:lang w:val="en-US"/>
        </w:rPr>
        <w:t xml:space="preserve">Catenacci, </w:t>
      </w:r>
      <w:r>
        <w:rPr>
          <w:sz w:val="18"/>
          <w:szCs w:val="18"/>
          <w:rtl w:val="0"/>
          <w:lang w:val="en-US"/>
        </w:rPr>
        <w:t xml:space="preserve">V.A.; Pan, Z.; Ostendorf, D.; Brannon, S.; Gozansky, W.S.; Mattson, M.P.; Martin, B.; MacLean, P.S.; Melanson, E.L.; Troy, D.W. A randomized pilot study comparing zero-calorie alternate-day fasting to daily caloric restriction in adults with obesity. </w:t>
      </w:r>
      <w:r>
        <w:rPr>
          <w:i w:val="1"/>
          <w:iCs w:val="1"/>
          <w:sz w:val="18"/>
          <w:szCs w:val="18"/>
          <w:rtl w:val="0"/>
          <w:lang w:val="en-US"/>
        </w:rPr>
        <w:t xml:space="preserve">Obesity </w:t>
      </w:r>
      <w:r>
        <w:rPr>
          <w:b w:val="1"/>
          <w:bCs w:val="1"/>
          <w:sz w:val="18"/>
          <w:szCs w:val="18"/>
          <w:rtl w:val="0"/>
        </w:rPr>
        <w:t>2016</w:t>
      </w:r>
      <w:r>
        <w:rPr>
          <w:sz w:val="18"/>
          <w:szCs w:val="18"/>
          <w:rtl w:val="0"/>
        </w:rPr>
        <w:t xml:space="preserve">, </w:t>
      </w:r>
      <w:r>
        <w:rPr>
          <w:i w:val="1"/>
          <w:iCs w:val="1"/>
          <w:sz w:val="18"/>
          <w:szCs w:val="18"/>
          <w:rtl w:val="0"/>
        </w:rPr>
        <w:t>24</w:t>
      </w:r>
      <w:r>
        <w:rPr>
          <w:sz w:val="18"/>
          <w:szCs w:val="18"/>
          <w:rtl w:val="0"/>
        </w:rPr>
        <w:t>, 1874</w:t>
      </w:r>
      <w:r>
        <w:rPr>
          <w:sz w:val="18"/>
          <w:szCs w:val="18"/>
          <w:rtl w:val="0"/>
        </w:rPr>
        <w:t>–</w:t>
      </w:r>
      <w:r>
        <w:rPr>
          <w:sz w:val="18"/>
          <w:szCs w:val="18"/>
          <w:rtl w:val="0"/>
          <w:lang w:val="pt-PT"/>
        </w:rPr>
        <w:t>1883. [</w:t>
      </w:r>
      <w:r>
        <w:rPr>
          <w:color w:val="0000ff"/>
          <w:sz w:val="18"/>
          <w:szCs w:val="18"/>
          <w:rtl w:val="0"/>
          <w:lang w:val="it-IT"/>
        </w:rPr>
        <w:t>CrossRef</w:t>
      </w:r>
      <w:r>
        <w:rPr>
          <w:sz w:val="18"/>
          <w:szCs w:val="18"/>
          <w:rtl w:val="0"/>
        </w:rPr>
        <w:t>] [</w:t>
      </w:r>
      <w:r>
        <w:rPr>
          <w:color w:val="0000ff"/>
          <w:sz w:val="18"/>
          <w:szCs w:val="18"/>
          <w:rtl w:val="0"/>
        </w:rPr>
        <w:t>PubMed</w:t>
      </w:r>
      <w:r>
        <w:rPr>
          <w:sz w:val="18"/>
          <w:szCs w:val="18"/>
          <w:rtl w:val="0"/>
        </w:rPr>
        <w:t>]</w:t>
      </w:r>
    </w:p>
    <w:p>
      <w:pPr>
        <w:pStyle w:val="Body"/>
        <w:numPr>
          <w:ilvl w:val="0"/>
          <w:numId w:val="2"/>
        </w:numPr>
        <w:rPr>
          <w:sz w:val="18"/>
          <w:szCs w:val="18"/>
          <w:lang w:val="en-US"/>
        </w:rPr>
      </w:pPr>
      <w:r>
        <w:rPr>
          <w:sz w:val="18"/>
          <w:szCs w:val="18"/>
          <w:rtl w:val="0"/>
          <w:lang w:val="en-US"/>
        </w:rPr>
        <w:t xml:space="preserve">Anderson, </w:t>
      </w:r>
      <w:r>
        <w:rPr>
          <w:sz w:val="18"/>
          <w:szCs w:val="18"/>
          <w:rtl w:val="0"/>
          <w:lang w:val="en-US"/>
        </w:rPr>
        <w:t xml:space="preserve">J.W.; Herman, R.H. Effect of fasting, caloric restriction, and refeeding on glucose tolerance of normal men. </w:t>
      </w:r>
      <w:r>
        <w:rPr>
          <w:i w:val="1"/>
          <w:iCs w:val="1"/>
          <w:sz w:val="18"/>
          <w:szCs w:val="18"/>
          <w:rtl w:val="0"/>
          <w:lang w:val="pt-PT"/>
        </w:rPr>
        <w:t xml:space="preserve">Am. J. Clin. Nutr. </w:t>
      </w:r>
      <w:r>
        <w:rPr>
          <w:b w:val="1"/>
          <w:bCs w:val="1"/>
          <w:sz w:val="18"/>
          <w:szCs w:val="18"/>
          <w:rtl w:val="0"/>
        </w:rPr>
        <w:t>1972</w:t>
      </w:r>
      <w:r>
        <w:rPr>
          <w:sz w:val="18"/>
          <w:szCs w:val="18"/>
          <w:rtl w:val="0"/>
        </w:rPr>
        <w:t xml:space="preserve">, </w:t>
      </w:r>
      <w:r>
        <w:rPr>
          <w:i w:val="1"/>
          <w:iCs w:val="1"/>
          <w:sz w:val="18"/>
          <w:szCs w:val="18"/>
          <w:rtl w:val="0"/>
        </w:rPr>
        <w:t>25</w:t>
      </w:r>
      <w:r>
        <w:rPr>
          <w:sz w:val="18"/>
          <w:szCs w:val="18"/>
          <w:rtl w:val="0"/>
        </w:rPr>
        <w:t>, 41</w:t>
      </w:r>
      <w:r>
        <w:rPr>
          <w:sz w:val="18"/>
          <w:szCs w:val="18"/>
          <w:rtl w:val="0"/>
        </w:rPr>
        <w:t>–</w:t>
      </w:r>
      <w:r>
        <w:rPr>
          <w:sz w:val="18"/>
          <w:szCs w:val="18"/>
          <w:rtl w:val="0"/>
        </w:rPr>
        <w:t>52. [</w:t>
      </w:r>
      <w:r>
        <w:rPr>
          <w:color w:val="0000ff"/>
          <w:sz w:val="18"/>
          <w:szCs w:val="18"/>
          <w:rtl w:val="0"/>
        </w:rPr>
        <w:t>PubMed</w:t>
      </w:r>
      <w:r>
        <w:rPr>
          <w:sz w:val="18"/>
          <w:szCs w:val="18"/>
          <w:rtl w:val="0"/>
        </w:rPr>
        <w:t xml:space="preserve">] </w:t>
      </w:r>
    </w:p>
    <w:p>
      <w:pPr>
        <w:pStyle w:val="Body"/>
        <w:numPr>
          <w:ilvl w:val="0"/>
          <w:numId w:val="2"/>
        </w:numPr>
        <w:rPr>
          <w:sz w:val="18"/>
          <w:szCs w:val="18"/>
          <w:lang w:val="en-US"/>
        </w:rPr>
      </w:pPr>
      <w:r>
        <w:rPr>
          <w:sz w:val="18"/>
          <w:szCs w:val="18"/>
          <w:rtl w:val="0"/>
          <w:lang w:val="en-US"/>
        </w:rPr>
        <w:t xml:space="preserve">Nakamura, </w:t>
      </w:r>
      <w:r>
        <w:rPr>
          <w:sz w:val="18"/>
          <w:szCs w:val="18"/>
          <w:rtl w:val="0"/>
          <w:lang w:val="en-US"/>
        </w:rPr>
        <w:t xml:space="preserve">Y.; Walker, B.R.; Ikuta, T. Systematic review and meta-analysis reveals acutely elevated plasma cortisol following fasting but not less severe calorie restriction. </w:t>
      </w:r>
      <w:r>
        <w:rPr>
          <w:i w:val="1"/>
          <w:iCs w:val="1"/>
          <w:sz w:val="18"/>
          <w:szCs w:val="18"/>
          <w:rtl w:val="0"/>
          <w:lang w:val="en-US"/>
        </w:rPr>
        <w:t xml:space="preserve">Stress </w:t>
      </w:r>
      <w:r>
        <w:rPr>
          <w:b w:val="1"/>
          <w:bCs w:val="1"/>
          <w:sz w:val="18"/>
          <w:szCs w:val="18"/>
          <w:rtl w:val="0"/>
        </w:rPr>
        <w:t>2015</w:t>
      </w:r>
      <w:r>
        <w:rPr>
          <w:sz w:val="18"/>
          <w:szCs w:val="18"/>
          <w:rtl w:val="0"/>
        </w:rPr>
        <w:t xml:space="preserve">, </w:t>
      </w:r>
      <w:r>
        <w:rPr>
          <w:i w:val="1"/>
          <w:iCs w:val="1"/>
          <w:sz w:val="18"/>
          <w:szCs w:val="18"/>
          <w:rtl w:val="0"/>
        </w:rPr>
        <w:t>19</w:t>
      </w:r>
      <w:r>
        <w:rPr>
          <w:sz w:val="18"/>
          <w:szCs w:val="18"/>
          <w:rtl w:val="0"/>
        </w:rPr>
        <w:t>, 1</w:t>
      </w:r>
      <w:r>
        <w:rPr>
          <w:sz w:val="18"/>
          <w:szCs w:val="18"/>
          <w:rtl w:val="0"/>
        </w:rPr>
        <w:t>–</w:t>
      </w:r>
      <w:r>
        <w:rPr>
          <w:sz w:val="18"/>
          <w:szCs w:val="18"/>
          <w:rtl w:val="0"/>
          <w:lang w:val="pt-PT"/>
        </w:rPr>
        <w:t>21. [</w:t>
      </w:r>
      <w:r>
        <w:rPr>
          <w:color w:val="0000ff"/>
          <w:sz w:val="18"/>
          <w:szCs w:val="18"/>
          <w:rtl w:val="0"/>
          <w:lang w:val="it-IT"/>
        </w:rPr>
        <w:t>CrossRef</w:t>
      </w:r>
      <w:r>
        <w:rPr>
          <w:sz w:val="18"/>
          <w:szCs w:val="18"/>
          <w:rtl w:val="0"/>
        </w:rPr>
        <w:t>] [</w:t>
      </w:r>
      <w:r>
        <w:rPr>
          <w:color w:val="0000ff"/>
          <w:sz w:val="18"/>
          <w:szCs w:val="18"/>
          <w:rtl w:val="0"/>
        </w:rPr>
        <w:t>PubMed</w:t>
      </w:r>
      <w:r>
        <w:rPr>
          <w:sz w:val="18"/>
          <w:szCs w:val="18"/>
          <w:rtl w:val="0"/>
        </w:rPr>
        <w:t>]</w:t>
      </w:r>
    </w:p>
    <w:p>
      <w:pPr>
        <w:pStyle w:val="Body"/>
        <w:numPr>
          <w:ilvl w:val="0"/>
          <w:numId w:val="2"/>
        </w:numPr>
        <w:rPr>
          <w:sz w:val="18"/>
          <w:szCs w:val="18"/>
          <w:lang w:val="en-US"/>
        </w:rPr>
      </w:pPr>
      <w:r>
        <w:rPr>
          <w:sz w:val="18"/>
          <w:szCs w:val="18"/>
          <w:rtl w:val="0"/>
          <w:lang w:val="en-US"/>
        </w:rPr>
        <w:t xml:space="preserve">Williams, </w:t>
      </w:r>
      <w:r>
        <w:rPr>
          <w:sz w:val="18"/>
          <w:szCs w:val="18"/>
          <w:rtl w:val="0"/>
          <w:lang w:val="en-US"/>
        </w:rPr>
        <w:t xml:space="preserve">K.V.; Mullen, M.L.; Kelley, D.E.; Wing, R.R. The effect of short periods of caloric restriction on weight loss and glycemic control in type 2 diabetes. </w:t>
      </w:r>
      <w:r>
        <w:rPr>
          <w:i w:val="1"/>
          <w:iCs w:val="1"/>
          <w:sz w:val="18"/>
          <w:szCs w:val="18"/>
          <w:rtl w:val="0"/>
          <w:lang w:val="pt-PT"/>
        </w:rPr>
        <w:t xml:space="preserve">Diabetes Care </w:t>
      </w:r>
      <w:r>
        <w:rPr>
          <w:b w:val="1"/>
          <w:bCs w:val="1"/>
          <w:sz w:val="18"/>
          <w:szCs w:val="18"/>
          <w:rtl w:val="0"/>
        </w:rPr>
        <w:t>1998</w:t>
      </w:r>
      <w:r>
        <w:rPr>
          <w:sz w:val="18"/>
          <w:szCs w:val="18"/>
          <w:rtl w:val="0"/>
        </w:rPr>
        <w:t xml:space="preserve">, </w:t>
      </w:r>
      <w:r>
        <w:rPr>
          <w:i w:val="1"/>
          <w:iCs w:val="1"/>
          <w:sz w:val="18"/>
          <w:szCs w:val="18"/>
          <w:rtl w:val="0"/>
        </w:rPr>
        <w:t>21</w:t>
      </w:r>
      <w:r>
        <w:rPr>
          <w:sz w:val="18"/>
          <w:szCs w:val="18"/>
          <w:rtl w:val="0"/>
        </w:rPr>
        <w:t>, 2</w:t>
      </w:r>
      <w:r>
        <w:rPr>
          <w:sz w:val="18"/>
          <w:szCs w:val="18"/>
          <w:rtl w:val="0"/>
        </w:rPr>
        <w:t>–</w:t>
      </w:r>
      <w:r>
        <w:rPr>
          <w:sz w:val="18"/>
          <w:szCs w:val="18"/>
          <w:rtl w:val="0"/>
        </w:rPr>
        <w:t>8. [</w:t>
      </w:r>
      <w:r>
        <w:rPr>
          <w:color w:val="0000ff"/>
          <w:sz w:val="18"/>
          <w:szCs w:val="18"/>
          <w:rtl w:val="0"/>
          <w:lang w:val="it-IT"/>
        </w:rPr>
        <w:t>CrossRef</w:t>
      </w:r>
      <w:r>
        <w:rPr>
          <w:sz w:val="18"/>
          <w:szCs w:val="18"/>
          <w:rtl w:val="0"/>
        </w:rPr>
        <w:t>] [</w:t>
      </w:r>
      <w:r>
        <w:rPr>
          <w:color w:val="0000ff"/>
          <w:sz w:val="18"/>
          <w:szCs w:val="18"/>
          <w:rtl w:val="0"/>
        </w:rPr>
        <w:t>PubMed</w:t>
      </w:r>
      <w:r>
        <w:rPr>
          <w:sz w:val="18"/>
          <w:szCs w:val="18"/>
          <w:rtl w:val="0"/>
        </w:rPr>
        <w:t xml:space="preserve">] </w:t>
      </w:r>
    </w:p>
    <w:p>
      <w:pPr>
        <w:pStyle w:val="Body"/>
        <w:numPr>
          <w:ilvl w:val="0"/>
          <w:numId w:val="2"/>
        </w:numPr>
        <w:rPr>
          <w:sz w:val="18"/>
          <w:szCs w:val="18"/>
          <w:lang w:val="en-US"/>
        </w:rPr>
      </w:pPr>
      <w:r>
        <w:rPr>
          <w:sz w:val="18"/>
          <w:szCs w:val="18"/>
          <w:rtl w:val="0"/>
          <w:lang w:val="en-US"/>
        </w:rPr>
        <w:t>Wing,</w:t>
      </w:r>
      <w:r>
        <w:rPr>
          <w:sz w:val="18"/>
          <w:szCs w:val="18"/>
          <w:rtl w:val="0"/>
          <w:lang w:val="en-US"/>
        </w:rPr>
        <w:t xml:space="preserve">R.R.; Jeffery, R.W. Prescribed </w:t>
      </w:r>
      <w:r>
        <w:rPr>
          <w:sz w:val="18"/>
          <w:szCs w:val="18"/>
          <w:rtl w:val="0"/>
        </w:rPr>
        <w:t>“</w:t>
      </w:r>
      <w:r>
        <w:rPr>
          <w:sz w:val="18"/>
          <w:szCs w:val="18"/>
          <w:rtl w:val="0"/>
          <w:lang w:val="en-US"/>
        </w:rPr>
        <w:t>breaks</w:t>
      </w:r>
      <w:r>
        <w:rPr>
          <w:sz w:val="18"/>
          <w:szCs w:val="18"/>
          <w:rtl w:val="0"/>
        </w:rPr>
        <w:t xml:space="preserve">” </w:t>
      </w:r>
      <w:r>
        <w:rPr>
          <w:sz w:val="18"/>
          <w:szCs w:val="18"/>
          <w:rtl w:val="0"/>
          <w:lang w:val="en-US"/>
        </w:rPr>
        <w:t xml:space="preserve">as a means to disrupt weight control efforts. </w:t>
      </w:r>
      <w:r>
        <w:rPr>
          <w:i w:val="1"/>
          <w:iCs w:val="1"/>
          <w:sz w:val="18"/>
          <w:szCs w:val="18"/>
          <w:rtl w:val="0"/>
          <w:lang w:val="pt-PT"/>
        </w:rPr>
        <w:t xml:space="preserve">Obes. Res. </w:t>
      </w:r>
      <w:r>
        <w:rPr>
          <w:b w:val="1"/>
          <w:bCs w:val="1"/>
          <w:sz w:val="18"/>
          <w:szCs w:val="18"/>
          <w:rtl w:val="0"/>
        </w:rPr>
        <w:t>2003</w:t>
      </w:r>
      <w:r>
        <w:rPr>
          <w:sz w:val="18"/>
          <w:szCs w:val="18"/>
          <w:rtl w:val="0"/>
        </w:rPr>
        <w:t xml:space="preserve">, </w:t>
      </w:r>
      <w:r>
        <w:rPr>
          <w:i w:val="1"/>
          <w:iCs w:val="1"/>
          <w:sz w:val="18"/>
          <w:szCs w:val="18"/>
          <w:rtl w:val="0"/>
        </w:rPr>
        <w:t>11</w:t>
      </w:r>
      <w:r>
        <w:rPr>
          <w:sz w:val="18"/>
          <w:szCs w:val="18"/>
          <w:rtl w:val="0"/>
        </w:rPr>
        <w:t xml:space="preserve">, </w:t>
      </w:r>
      <w:r>
        <w:rPr>
          <w:sz w:val="18"/>
          <w:szCs w:val="18"/>
        </w:rPr>
        <w:br w:type="textWrapping"/>
      </w:r>
      <w:r>
        <w:rPr>
          <w:sz w:val="18"/>
          <w:szCs w:val="18"/>
          <w:rtl w:val="0"/>
        </w:rPr>
        <w:t>287</w:t>
      </w:r>
      <w:r>
        <w:rPr>
          <w:sz w:val="18"/>
          <w:szCs w:val="18"/>
          <w:rtl w:val="0"/>
        </w:rPr>
        <w:t>–</w:t>
      </w:r>
      <w:r>
        <w:rPr>
          <w:sz w:val="18"/>
          <w:szCs w:val="18"/>
          <w:rtl w:val="0"/>
        </w:rPr>
        <w:t>291. [</w:t>
      </w:r>
      <w:r>
        <w:rPr>
          <w:color w:val="0000ff"/>
          <w:sz w:val="18"/>
          <w:szCs w:val="18"/>
          <w:rtl w:val="0"/>
          <w:lang w:val="it-IT"/>
        </w:rPr>
        <w:t>CrossRef</w:t>
      </w:r>
      <w:r>
        <w:rPr>
          <w:sz w:val="18"/>
          <w:szCs w:val="18"/>
          <w:rtl w:val="0"/>
        </w:rPr>
        <w:t>] [</w:t>
      </w:r>
      <w:r>
        <w:rPr>
          <w:color w:val="0000ff"/>
          <w:sz w:val="18"/>
          <w:szCs w:val="18"/>
          <w:rtl w:val="0"/>
        </w:rPr>
        <w:t>PubMed</w:t>
      </w:r>
      <w:r>
        <w:rPr>
          <w:sz w:val="18"/>
          <w:szCs w:val="18"/>
          <w:rtl w:val="0"/>
        </w:rPr>
        <w:t>]</w:t>
      </w:r>
    </w:p>
    <w:p>
      <w:pPr>
        <w:pStyle w:val="Caption"/>
        <w:tabs>
          <w:tab w:val="left" w:pos="2048"/>
          <w:tab w:val="left" w:pos="4096"/>
          <w:tab w:val="left" w:pos="6144"/>
          <w:tab w:val="left" w:pos="8192"/>
          <w:tab w:val="clear" w:pos="1150"/>
        </w:tabs>
        <w:suppressAutoHyphens w:val="1"/>
        <w:spacing w:before="142" w:line="173" w:lineRule="auto"/>
        <w:jc w:val="left"/>
        <w:outlineLvl w:val="2"/>
        <w:rPr>
          <w:rFonts w:ascii="Calibri" w:cs="Calibri" w:hAnsi="Calibri" w:eastAsia="Calibri"/>
          <w:b w:val="0"/>
          <w:bCs w:val="0"/>
          <w:i w:val="1"/>
          <w:iCs w:val="1"/>
          <w:caps w:val="0"/>
          <w:smallCaps w:val="0"/>
          <w:sz w:val="24"/>
          <w:szCs w:val="24"/>
          <w:lang w:val="en-US"/>
        </w:rPr>
      </w:pPr>
    </w:p>
    <w:p>
      <w:pPr>
        <w:pStyle w:val="Caption"/>
        <w:tabs>
          <w:tab w:val="left" w:pos="2048"/>
          <w:tab w:val="left" w:pos="4096"/>
          <w:tab w:val="left" w:pos="6144"/>
          <w:tab w:val="left" w:pos="8192"/>
          <w:tab w:val="clear" w:pos="1150"/>
        </w:tabs>
        <w:suppressAutoHyphens w:val="1"/>
        <w:spacing w:before="142" w:line="173" w:lineRule="auto"/>
        <w:jc w:val="left"/>
        <w:outlineLvl w:val="2"/>
        <w:rPr>
          <w:rFonts w:ascii="Calibri" w:cs="Calibri" w:hAnsi="Calibri" w:eastAsia="Calibri"/>
          <w:b w:val="0"/>
          <w:bCs w:val="0"/>
          <w:caps w:val="0"/>
          <w:smallCaps w:val="0"/>
          <w:sz w:val="24"/>
          <w:szCs w:val="24"/>
          <w:lang w:val="en-US"/>
        </w:rPr>
      </w:pPr>
      <w:r>
        <w:rPr>
          <w:rFonts w:ascii="Calibri" w:cs="Calibri" w:hAnsi="Calibri" w:eastAsia="Calibri"/>
          <w:b w:val="0"/>
          <w:bCs w:val="0"/>
          <w:caps w:val="0"/>
          <w:smallCaps w:val="0"/>
          <w:sz w:val="24"/>
          <w:szCs w:val="24"/>
          <w:rtl w:val="0"/>
          <w:lang w:val="en-US"/>
        </w:rPr>
        <w:t>Bibliography</w:t>
      </w:r>
    </w:p>
    <w:p>
      <w:pPr>
        <w:pStyle w:val="Caption"/>
        <w:tabs>
          <w:tab w:val="left" w:pos="2048"/>
          <w:tab w:val="left" w:pos="4096"/>
          <w:tab w:val="left" w:pos="6144"/>
          <w:tab w:val="left" w:pos="8192"/>
          <w:tab w:val="clear" w:pos="1150"/>
        </w:tabs>
        <w:suppressAutoHyphens w:val="1"/>
        <w:spacing w:before="142" w:line="173" w:lineRule="auto"/>
        <w:jc w:val="left"/>
        <w:outlineLvl w:val="2"/>
        <w:rPr>
          <w:rFonts w:ascii="Calibri" w:cs="Calibri" w:hAnsi="Calibri" w:eastAsia="Calibri"/>
          <w:b w:val="0"/>
          <w:bCs w:val="0"/>
          <w:i w:val="1"/>
          <w:iCs w:val="1"/>
          <w:caps w:val="0"/>
          <w:smallCaps w:val="0"/>
          <w:sz w:val="24"/>
          <w:szCs w:val="24"/>
          <w:lang w:val="en-US"/>
        </w:rPr>
      </w:pPr>
    </w:p>
    <w:p>
      <w:pPr>
        <w:pStyle w:val="Body"/>
        <w:widowControl w:val="0"/>
        <w:bidi w:val="0"/>
        <w:spacing w:before="41"/>
        <w:ind w:left="213" w:right="231" w:firstLine="0"/>
        <w:jc w:val="both"/>
        <w:rPr>
          <w:rFonts w:ascii="Tw Cen MT" w:cs="Tw Cen MT" w:hAnsi="Tw Cen MT" w:eastAsia="Tw Cen MT"/>
          <w:sz w:val="18"/>
          <w:szCs w:val="18"/>
          <w:u w:color="000000"/>
          <w:rtl w:val="0"/>
        </w:rPr>
      </w:pPr>
      <w:r>
        <w:rPr>
          <w:rFonts w:ascii="Arial" w:hAnsi="Arial"/>
          <w:sz w:val="18"/>
          <w:szCs w:val="18"/>
          <w:u w:color="000000"/>
          <w:rtl w:val="0"/>
          <w:lang w:val="en-US"/>
        </w:rPr>
        <w:t>Dr David Ling Sien Ngan, is the member of KL Academy of Social Sciences, has his expertise and passion in improving healthcare delivery and health security of the individual, community &amp; national economic wellbeing, especially through financial planning. He analyse not just as a doctor but through the lens of social scientist from the security perspective as a strategist and policy planner, where much work is done through qualitative analysis via very extensive literature review, augmented by clinical interview and physical assessment. Ageing challenges face more security dimension than just medical and, a constructivist society has a better security provision.</w:t>
      </w:r>
      <w:r>
        <w:rPr>
          <w:rFonts w:ascii="Arial" w:cs="Arial" w:hAnsi="Arial" w:eastAsia="Arial"/>
          <w:sz w:val="18"/>
          <w:szCs w:val="18"/>
          <w:u w:color="000000"/>
          <w:rtl w:val="0"/>
        </w:rPr>
        <w:drawing>
          <wp:anchor distT="152400" distB="152400" distL="152400" distR="152400" simplePos="0" relativeHeight="251659264" behindDoc="0" locked="0" layoutInCell="1" allowOverlap="1">
            <wp:simplePos x="0" y="0"/>
            <wp:positionH relativeFrom="margin">
              <wp:posOffset>3942420</wp:posOffset>
            </wp:positionH>
            <wp:positionV relativeFrom="line">
              <wp:posOffset>247920</wp:posOffset>
            </wp:positionV>
            <wp:extent cx="1368037" cy="1440001"/>
            <wp:effectExtent l="0" t="0" r="0" b="0"/>
            <wp:wrapThrough wrapText="bothSides" distL="152400" distR="152400">
              <wp:wrapPolygon edited="1">
                <wp:start x="0" y="0"/>
                <wp:lineTo x="21600" y="0"/>
                <wp:lineTo x="21600" y="21600"/>
                <wp:lineTo x="0" y="21600"/>
                <wp:lineTo x="0"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USA Visa--487KB.jpg"/>
                    <pic:cNvPicPr>
                      <a:picLocks noChangeAspect="1"/>
                    </pic:cNvPicPr>
                  </pic:nvPicPr>
                  <pic:blipFill>
                    <a:blip r:embed="rId4">
                      <a:extLst/>
                    </a:blip>
                    <a:stretch>
                      <a:fillRect/>
                    </a:stretch>
                  </pic:blipFill>
                  <pic:spPr>
                    <a:xfrm>
                      <a:off x="0" y="0"/>
                      <a:ext cx="1368037" cy="1440001"/>
                    </a:xfrm>
                    <a:prstGeom prst="rect">
                      <a:avLst/>
                    </a:prstGeom>
                    <a:ln w="12700" cap="flat">
                      <a:noFill/>
                      <a:miter lim="400000"/>
                    </a:ln>
                    <a:effectLst/>
                  </pic:spPr>
                </pic:pic>
              </a:graphicData>
            </a:graphic>
          </wp:anchor>
        </w:drawing>
      </w:r>
    </w:p>
    <w:p>
      <w:pPr>
        <w:pStyle w:val="Body Text"/>
        <w:spacing w:before="90" w:line="280" w:lineRule="auto"/>
        <w:ind w:left="100" w:firstLine="0"/>
        <w:jc w:val="both"/>
        <w:rPr>
          <w:sz w:val="30"/>
          <w:szCs w:val="30"/>
        </w:rPr>
      </w:pPr>
    </w:p>
    <w:p>
      <w:pPr>
        <w:pStyle w:val="Body Text"/>
        <w:spacing w:before="90" w:line="280" w:lineRule="auto"/>
        <w:ind w:left="100" w:firstLine="0"/>
        <w:jc w:val="both"/>
      </w:pPr>
      <w:r>
        <w:rPr>
          <w:sz w:val="30"/>
          <w:szCs w:val="30"/>
          <w:rtl w:val="0"/>
          <w:lang w:val="en-US"/>
        </w:rPr>
        <w:t xml:space="preserve">Email: </w:t>
      </w:r>
      <w:r>
        <w:rPr>
          <w:rStyle w:val="Hyperlink.0"/>
          <w:sz w:val="30"/>
          <w:szCs w:val="30"/>
        </w:rPr>
        <w:fldChar w:fldCharType="begin" w:fldLock="0"/>
      </w:r>
      <w:r>
        <w:rPr>
          <w:rStyle w:val="Hyperlink.0"/>
          <w:sz w:val="30"/>
          <w:szCs w:val="30"/>
        </w:rPr>
        <w:instrText xml:space="preserve"> HYPERLINK "mailto:DrDavidLing@gmail.com"</w:instrText>
      </w:r>
      <w:r>
        <w:rPr>
          <w:rStyle w:val="Hyperlink.0"/>
          <w:sz w:val="30"/>
          <w:szCs w:val="30"/>
        </w:rPr>
        <w:fldChar w:fldCharType="separate" w:fldLock="0"/>
      </w:r>
      <w:r>
        <w:rPr>
          <w:rStyle w:val="Hyperlink.0"/>
          <w:sz w:val="30"/>
          <w:szCs w:val="30"/>
          <w:rtl w:val="0"/>
          <w:lang w:val="en-US"/>
        </w:rPr>
        <w:t>DrDavidLing@gmail.com</w:t>
      </w:r>
      <w:r>
        <w:rPr>
          <w:sz w:val="30"/>
          <w:szCs w:val="30"/>
        </w:rPr>
        <w:fldChar w:fldCharType="end" w:fldLock="0"/>
      </w:r>
    </w:p>
    <w:sectPr>
      <w:headerReference w:type="default" r:id="rId5"/>
      <w:footerReference w:type="default" r:id="rId6"/>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Microsoft Sans Serif">
    <w:charset w:val="00"/>
    <w:family w:val="roman"/>
    <w:pitch w:val="default"/>
  </w:font>
  <w:font w:name="Times">
    <w:charset w:val="00"/>
    <w:family w:val="roman"/>
    <w:pitch w:val="default"/>
  </w:font>
  <w:font w:name="Tw Cen MT">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295" w:hanging="295"/>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655" w:hanging="295"/>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015" w:hanging="295"/>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375" w:hanging="295"/>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735" w:hanging="295"/>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095" w:hanging="295"/>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455" w:hanging="295"/>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815" w:hanging="295"/>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175" w:hanging="295"/>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hint="default"/>
      <w:b w:val="0"/>
      <w:bCs w:val="0"/>
      <w:i w:val="0"/>
      <w:iCs w:val="0"/>
      <w:caps w:val="0"/>
      <w:smallCaps w:val="0"/>
      <w:strike w:val="0"/>
      <w:dstrike w:val="0"/>
      <w:outline w:val="0"/>
      <w:color w:val="000000"/>
      <w:spacing w:val="0"/>
      <w:kern w:val="0"/>
      <w:position w:val="0"/>
      <w:sz w:val="22"/>
      <w:szCs w:val="22"/>
      <w:u w:val="none"/>
      <w:vertAlign w:val="baseline"/>
      <w:lang w:val="en-US"/>
    </w:rPr>
  </w:style>
  <w:style w:type="paragraph" w:styleId="Body Text">
    <w:name w:val="Body Text"/>
    <w:next w:val="Body"/>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Tw Cen MT" w:cs="Tw Cen MT" w:hAnsi="Tw Cen MT" w:eastAsia="Tw Cen MT"/>
      <w:b w:val="0"/>
      <w:bCs w:val="0"/>
      <w:i w:val="0"/>
      <w:iCs w:val="0"/>
      <w:caps w:val="0"/>
      <w:smallCaps w:val="0"/>
      <w:strike w:val="0"/>
      <w:dstrike w:val="0"/>
      <w:outline w:val="0"/>
      <w:color w:val="000000"/>
      <w:spacing w:val="0"/>
      <w:kern w:val="0"/>
      <w:position w:val="0"/>
      <w:sz w:val="18"/>
      <w:szCs w:val="18"/>
      <w:u w:val="none" w:color="000000"/>
      <w:vertAlign w:val="baseline"/>
      <w:lang w:val="en-US"/>
    </w:rPr>
  </w:style>
  <w:style w:type="numbering" w:styleId="Numbered">
    <w:name w:val="Numbered"/>
    <w:pPr>
      <w:numPr>
        <w:numId w:val="1"/>
      </w:numPr>
    </w:pPr>
  </w:style>
  <w:style w:type="paragraph" w:styleId="Caption">
    <w:name w:val="Caption"/>
    <w:next w:val="Caption"/>
    <w:pPr>
      <w:keepNext w:val="0"/>
      <w:keepLines w:val="0"/>
      <w:pageBreakBefore w:val="0"/>
      <w:widowControl w:val="1"/>
      <w:shd w:val="clear" w:color="auto" w:fill="auto"/>
      <w:tabs>
        <w:tab w:val="left" w:pos="1150"/>
      </w:tabs>
      <w:suppressAutoHyphens w:val="0"/>
      <w:bidi w:val="0"/>
      <w:spacing w:before="0" w:after="0" w:line="240" w:lineRule="auto"/>
      <w:ind w:left="0" w:right="0" w:firstLine="0"/>
      <w:jc w:val="left"/>
      <w:outlineLvl w:val="9"/>
    </w:pPr>
    <w:rPr>
      <w:rFonts w:ascii="Helvetica" w:cs="Helvetica" w:hAnsi="Helvetica" w:eastAsia="Helvetica"/>
      <w:b w:val="1"/>
      <w:bCs w:val="1"/>
      <w:i w:val="0"/>
      <w:iCs w:val="0"/>
      <w:caps w:val="1"/>
      <w:strike w:val="0"/>
      <w:dstrike w:val="0"/>
      <w:outline w:val="0"/>
      <w:color w:val="000000"/>
      <w:spacing w:val="0"/>
      <w:kern w:val="0"/>
      <w:position w:val="0"/>
      <w:sz w:val="20"/>
      <w:szCs w:val="20"/>
      <w:u w:val="none"/>
      <w:vertAlign w:val="baseline"/>
    </w:rPr>
  </w:style>
  <w:style w:type="character" w:styleId="Hyperlink.0">
    <w:name w:val="Hyperlink.0"/>
    <w:basedOn w:val="Hyperlink"/>
    <w:next w:val="Hyperlink.0"/>
    <w:rPr>
      <w:u w:val="singl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