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3F6B" w:rsidRPr="00163F6B" w:rsidRDefault="00163F6B" w:rsidP="00163F6B">
      <w:pPr>
        <w:pStyle w:val="Heading1"/>
        <w:spacing w:before="0" w:after="100" w:afterAutospacing="1" w:line="276" w:lineRule="auto"/>
        <w:rPr>
          <w:rFonts w:ascii="Times New Roman" w:hAnsi="Times New Roman" w:cs="Times New Roman"/>
          <w:color w:val="00B0F0"/>
        </w:rPr>
      </w:pPr>
      <w:bookmarkStart w:id="0" w:name="_GoBack"/>
      <w:bookmarkEnd w:id="0"/>
      <w:r w:rsidRPr="00163F6B">
        <w:rPr>
          <w:rFonts w:ascii="Times New Roman" w:hAnsi="Times New Roman" w:cs="Times New Roman"/>
          <w:color w:val="00B0F0"/>
        </w:rPr>
        <w:t>Appropriateness and Pattern of Antibiotic Prescription in Pediatric Patients at Adigart General Hospital, Tigray, Ethiopia</w:t>
      </w:r>
    </w:p>
    <w:p w:rsidR="00163F6B" w:rsidRPr="00E81644" w:rsidRDefault="00163F6B" w:rsidP="005973B9">
      <w:pPr>
        <w:pStyle w:val="BodyText"/>
        <w:spacing w:before="73" w:line="198" w:lineRule="exact"/>
        <w:ind w:left="100" w:right="5987"/>
        <w:rPr>
          <w:rFonts w:ascii="Times New Roman" w:hAnsi="Times New Roman" w:cs="Times New Roman"/>
          <w:sz w:val="22"/>
          <w:szCs w:val="24"/>
        </w:rPr>
      </w:pPr>
      <w:r w:rsidRPr="00E81644">
        <w:rPr>
          <w:rFonts w:ascii="Times New Roman" w:hAnsi="Times New Roman" w:cs="Times New Roman"/>
          <w:sz w:val="22"/>
          <w:szCs w:val="24"/>
        </w:rPr>
        <w:t>Adane Yehualaw</w:t>
      </w:r>
      <w:r w:rsidR="00E81644" w:rsidRPr="00E81644">
        <w:rPr>
          <w:rFonts w:ascii="Times New Roman" w:hAnsi="Times New Roman" w:cs="Times New Roman"/>
          <w:sz w:val="22"/>
          <w:szCs w:val="24"/>
        </w:rPr>
        <w:t xml:space="preserve">, </w:t>
      </w:r>
      <w:r w:rsidRPr="00E81644">
        <w:rPr>
          <w:rFonts w:ascii="Times New Roman" w:hAnsi="Times New Roman" w:cs="Times New Roman"/>
          <w:sz w:val="22"/>
          <w:szCs w:val="24"/>
        </w:rPr>
        <w:t>Bahir Dar University, Ethiopia</w:t>
      </w:r>
    </w:p>
    <w:p w:rsidR="00E81644" w:rsidRPr="00E81644" w:rsidRDefault="00E81644" w:rsidP="005973B9">
      <w:pPr>
        <w:pStyle w:val="BodyText"/>
        <w:spacing w:before="73" w:line="198" w:lineRule="exact"/>
        <w:ind w:left="100" w:right="5987"/>
        <w:rPr>
          <w:rFonts w:ascii="Times New Roman" w:hAnsi="Times New Roman" w:cs="Times New Roman"/>
          <w:sz w:val="22"/>
          <w:szCs w:val="24"/>
        </w:rPr>
      </w:pPr>
      <w:r w:rsidRPr="00E81644">
        <w:rPr>
          <w:rFonts w:ascii="Times New Roman" w:hAnsi="Times New Roman" w:cs="Times New Roman"/>
          <w:sz w:val="22"/>
          <w:szCs w:val="24"/>
        </w:rPr>
        <w:t xml:space="preserve">Chernet Taferre, Bahir Dar University, Ethiopia </w:t>
      </w:r>
    </w:p>
    <w:p w:rsidR="00E81644" w:rsidRPr="00E81644" w:rsidRDefault="00E81644" w:rsidP="005973B9">
      <w:pPr>
        <w:pStyle w:val="BodyText"/>
        <w:spacing w:before="73" w:line="198" w:lineRule="exact"/>
        <w:ind w:left="100" w:right="5987"/>
        <w:rPr>
          <w:rFonts w:ascii="Times New Roman" w:hAnsi="Times New Roman" w:cs="Times New Roman"/>
          <w:sz w:val="22"/>
          <w:szCs w:val="24"/>
        </w:rPr>
      </w:pPr>
      <w:r w:rsidRPr="00E81644">
        <w:rPr>
          <w:rFonts w:ascii="Times New Roman" w:hAnsi="Times New Roman" w:cs="Times New Roman"/>
          <w:sz w:val="22"/>
          <w:szCs w:val="24"/>
        </w:rPr>
        <w:t>Abere Tilahun Bantie, Adigrat University, Ethiopia</w:t>
      </w:r>
    </w:p>
    <w:p w:rsidR="005973B9" w:rsidRPr="00E81644" w:rsidRDefault="00E81644" w:rsidP="005973B9">
      <w:pPr>
        <w:pStyle w:val="BodyText"/>
        <w:spacing w:before="73" w:line="198" w:lineRule="exact"/>
        <w:ind w:left="100" w:right="5987"/>
        <w:rPr>
          <w:rFonts w:ascii="Times New Roman" w:hAnsi="Times New Roman" w:cs="Times New Roman"/>
          <w:sz w:val="22"/>
          <w:szCs w:val="24"/>
        </w:rPr>
      </w:pPr>
      <w:r w:rsidRPr="00E81644">
        <w:rPr>
          <w:rFonts w:ascii="Times New Roman" w:hAnsi="Times New Roman" w:cs="Times New Roman"/>
          <w:sz w:val="22"/>
          <w:szCs w:val="24"/>
        </w:rPr>
        <w:t>Desalegn Getnet Demsie, Bahir Dar University, Ethiopia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E81644" w:rsidRPr="008038C4" w:rsidRDefault="00E81644" w:rsidP="00E81644">
      <w:pPr>
        <w:spacing w:line="276" w:lineRule="auto"/>
        <w:jc w:val="both"/>
        <w:rPr>
          <w:rFonts w:ascii="Times New Roman" w:hAnsi="Times New Roman" w:cs="Times New Roman"/>
          <w:sz w:val="24"/>
        </w:rPr>
      </w:pPr>
      <w:r w:rsidRPr="00E81644">
        <w:rPr>
          <w:rFonts w:ascii="Times New Roman" w:hAnsi="Times New Roman" w:cs="Times New Roman"/>
          <w:b/>
          <w:sz w:val="18"/>
        </w:rPr>
        <w:t>Background</w:t>
      </w:r>
      <w:r w:rsidRPr="00E81644">
        <w:rPr>
          <w:rFonts w:ascii="Times New Roman" w:hAnsi="Times New Roman" w:cs="Times New Roman"/>
          <w:sz w:val="18"/>
        </w:rPr>
        <w:t xml:space="preserve"> Inappropriate and unnecessary use of antibiotics can increase morbidity, mortality, medical expenses or patient cost, and microbial antibiotic resistance. However, in developing countries like Ethiopia, information regarding appropriateness of antibiotic prescribing pattern to guide improvement strategies is scant. The aim of this study was to assess appropriateness and pattern of antibiotic prescription in pediatric patients. </w:t>
      </w:r>
      <w:r w:rsidRPr="00E81644">
        <w:rPr>
          <w:rFonts w:ascii="Times New Roman" w:hAnsi="Times New Roman" w:cs="Times New Roman"/>
          <w:b/>
          <w:sz w:val="18"/>
        </w:rPr>
        <w:t>Methods</w:t>
      </w:r>
      <w:r w:rsidRPr="00E81644">
        <w:rPr>
          <w:rFonts w:ascii="Times New Roman" w:hAnsi="Times New Roman" w:cs="Times New Roman"/>
          <w:sz w:val="18"/>
        </w:rPr>
        <w:t xml:space="preserve"> Hospital-based retrospective cross-sectional study was conducted to assess the antibiotic prescribing pattern in pediatric inpatient and outpatient ward of Adigrat General Hospital from December 1, 2018 to April 30, 2019. Data was collected by using structured data collection checklist, and the systematic random sampling technique was employed to enroll the required sample size during the study period. Appropriateness of drug use in pediatrics was evaluated using Ethiopian Standard Treatment guideline and WHO pediatric guideline. Result. A total of 692 pediatric patients’ medical charts were reviewed. The median age of patients on antibiotics was 3.26 years (IQR: 2-4). Majority (49.13%) of the patients were hospitalized for 5-9 days. SCAP (195), tonsillitis (114), and cellulitis (99) were most frequently encountered pediatric diseases. Penicillins (37.86%) followed by cephalosporins (31.79%) antibiotics were the most prescribed antibiotics in pediatric wards. This study also showed that ceftriaxone and ceftriaxone+amoxicillin were the most frequently used single and combination antibiotics, respectively. The prescribing practices were not stick to WHO core indicators and standards. Inappropriate prescription of antibiotics was observed in 28.3% of patients. Advanced age of children, children aged between 6 to 10 years (AOR = 3:225; CI = 1:080 − 9:630; P</w:t>
      </w:r>
      <w:r w:rsidR="001D59EB">
        <w:rPr>
          <w:rFonts w:ascii="Times New Roman" w:hAnsi="Times New Roman" w:cs="Times New Roman"/>
          <w:sz w:val="18"/>
        </w:rPr>
        <w:t>=</w:t>
      </w:r>
      <w:r w:rsidRPr="00E81644">
        <w:rPr>
          <w:rFonts w:ascii="Times New Roman" w:hAnsi="Times New Roman" w:cs="Times New Roman"/>
          <w:sz w:val="18"/>
        </w:rPr>
        <w:t xml:space="preserve">:036) and 11-18 years (AOR = </w:t>
      </w:r>
      <w:r w:rsidRPr="00E81644">
        <w:rPr>
          <w:rFonts w:ascii="Times New Roman" w:hAnsi="Times New Roman" w:cs="Times New Roman"/>
          <w:sz w:val="18"/>
          <w:szCs w:val="18"/>
        </w:rPr>
        <w:t>18:691; CI = 5:156 − 67:756; P = :000), was the independent determinant of inappropriate drug use. The rate of generic prescription was not in line with WHO recommendation. Advanced age of children was the independent factor for inappropriate use of antibiotics.</w:t>
      </w:r>
    </w:p>
    <w:p w:rsidR="00AE3E37" w:rsidRDefault="00A9710C">
      <w:pPr>
        <w:pStyle w:val="Heading3"/>
        <w:spacing w:before="74"/>
      </w:pPr>
      <w:r>
        <w:rPr>
          <w:b w:val="0"/>
        </w:rPr>
        <w:br w:type="column"/>
      </w:r>
    </w:p>
    <w:p w:rsidR="00AE3E37" w:rsidRDefault="001D59EB">
      <w:pPr>
        <w:pStyle w:val="BodyText"/>
        <w:spacing w:before="2"/>
        <w:rPr>
          <w:rFonts w:ascii="Arial"/>
          <w:b/>
          <w:sz w:val="16"/>
        </w:rPr>
      </w:pPr>
      <w:r>
        <w:rPr>
          <w:rFonts w:ascii="Arial"/>
          <w:b/>
          <w:noProof/>
          <w:sz w:val="16"/>
        </w:rPr>
        <w:drawing>
          <wp:inline distT="0" distB="0" distL="0" distR="0">
            <wp:extent cx="2695575" cy="2427549"/>
            <wp:effectExtent l="19050" t="0" r="9525"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srcRect/>
                    <a:stretch>
                      <a:fillRect/>
                    </a:stretch>
                  </pic:blipFill>
                  <pic:spPr bwMode="auto">
                    <a:xfrm>
                      <a:off x="0" y="0"/>
                      <a:ext cx="2698989" cy="2430623"/>
                    </a:xfrm>
                    <a:prstGeom prst="rect">
                      <a:avLst/>
                    </a:prstGeom>
                    <a:noFill/>
                    <a:ln w="9525">
                      <a:noFill/>
                      <a:miter lim="800000"/>
                      <a:headEnd/>
                      <a:tailEnd/>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D0184C" w:rsidRPr="00D0184C" w:rsidRDefault="00D0184C" w:rsidP="00D0184C">
      <w:pPr>
        <w:widowControl/>
        <w:numPr>
          <w:ilvl w:val="0"/>
          <w:numId w:val="4"/>
        </w:numPr>
        <w:spacing w:after="160" w:line="259" w:lineRule="auto"/>
        <w:contextualSpacing/>
        <w:jc w:val="both"/>
        <w:rPr>
          <w:rFonts w:ascii="Times New Roman" w:eastAsia="Calibri" w:hAnsi="Times New Roman" w:cs="Times New Roman"/>
          <w:sz w:val="18"/>
          <w:szCs w:val="18"/>
        </w:rPr>
      </w:pPr>
      <w:r w:rsidRPr="00D0184C">
        <w:rPr>
          <w:rFonts w:ascii="Times New Roman" w:eastAsia="Calibri" w:hAnsi="Times New Roman" w:cs="Times New Roman"/>
          <w:sz w:val="18"/>
          <w:szCs w:val="18"/>
        </w:rPr>
        <w:t>Demsie DG, Yimer EM, Berhe AH, Altaye BM, Berhe DF. Anti-nociceptive and anti-inflammatory activities of crude root extract and solvent fractions of Cucumisficifolius in mice model. J Pain Res. 2019 Apr 30; 12:1399-1409. doi: 10.2147/JPR.S193029. PMID: 31118758; PMCID: PMC6504711</w:t>
      </w:r>
    </w:p>
    <w:p w:rsidR="00D0184C" w:rsidRPr="00D0184C" w:rsidRDefault="00D0184C" w:rsidP="00D0184C">
      <w:pPr>
        <w:widowControl/>
        <w:numPr>
          <w:ilvl w:val="0"/>
          <w:numId w:val="4"/>
        </w:numPr>
        <w:spacing w:after="160" w:line="259" w:lineRule="auto"/>
        <w:contextualSpacing/>
        <w:rPr>
          <w:rFonts w:ascii="Times New Roman" w:eastAsia="Calibri" w:hAnsi="Times New Roman" w:cs="Times New Roman"/>
          <w:sz w:val="18"/>
          <w:szCs w:val="18"/>
        </w:rPr>
      </w:pPr>
      <w:r w:rsidRPr="00D0184C">
        <w:rPr>
          <w:rFonts w:ascii="Times New Roman" w:eastAsia="Calibri" w:hAnsi="Times New Roman" w:cs="Times New Roman"/>
          <w:sz w:val="18"/>
          <w:szCs w:val="18"/>
        </w:rPr>
        <w:t>Demsie DG, Altaye BM, Weldekidan E, Gebremedhin H, Alema NM, Tefera MM, Bantie AT. Galanin Receptors as Drug Target for Novel Antidepressants: Review. Biologics. 2020 Apr 21; 14:37-45. doi: 10.2147/BTT.S240715. PMID: 32368008; PMCID: PMC7183331.</w:t>
      </w:r>
    </w:p>
    <w:p w:rsidR="00D0184C" w:rsidRPr="00D0184C" w:rsidRDefault="00D0184C" w:rsidP="00D0184C">
      <w:pPr>
        <w:widowControl/>
        <w:numPr>
          <w:ilvl w:val="0"/>
          <w:numId w:val="4"/>
        </w:numPr>
        <w:spacing w:after="160" w:line="259" w:lineRule="auto"/>
        <w:contextualSpacing/>
        <w:rPr>
          <w:rFonts w:ascii="Times New Roman" w:eastAsia="Calibri" w:hAnsi="Times New Roman" w:cs="Times New Roman"/>
          <w:sz w:val="18"/>
          <w:szCs w:val="18"/>
        </w:rPr>
      </w:pPr>
      <w:r w:rsidRPr="00D0184C">
        <w:rPr>
          <w:rFonts w:ascii="Times New Roman" w:eastAsia="Calibri" w:hAnsi="Times New Roman" w:cs="Times New Roman"/>
          <w:sz w:val="18"/>
          <w:szCs w:val="18"/>
        </w:rPr>
        <w:t>Demsie DG, etal.Glycopeptides as Potential Interventions for COVID-19. Biologics. 2020 Oct 13; 14:107-114. doi: 10.2147/BTT.S262705. PMID: 33116397; PMCID: PMC7569252.</w:t>
      </w:r>
    </w:p>
    <w:p w:rsidR="00D0184C" w:rsidRPr="00D0184C" w:rsidRDefault="00D0184C" w:rsidP="00D0184C">
      <w:pPr>
        <w:widowControl/>
        <w:numPr>
          <w:ilvl w:val="0"/>
          <w:numId w:val="4"/>
        </w:numPr>
        <w:spacing w:after="160" w:line="259" w:lineRule="auto"/>
        <w:contextualSpacing/>
        <w:jc w:val="both"/>
        <w:rPr>
          <w:rFonts w:ascii="Times New Roman" w:eastAsia="Calibri" w:hAnsi="Times New Roman" w:cs="Times New Roman"/>
          <w:sz w:val="18"/>
          <w:szCs w:val="18"/>
        </w:rPr>
      </w:pPr>
      <w:r w:rsidRPr="00D0184C">
        <w:rPr>
          <w:rFonts w:ascii="Times New Roman" w:eastAsia="Calibri" w:hAnsi="Times New Roman" w:cs="Times New Roman"/>
          <w:sz w:val="18"/>
          <w:szCs w:val="18"/>
        </w:rPr>
        <w:t>Demsie, D.G., Bantie, A.T., Allene, M.D., Alema, N.M. and Gebrie, D., 2020. Antiretroviral treatment failure among HIV-positive adults taking first-line therapy and associated risk factors at Adigrat General hospital, Adigart, Ethiopia 2019: A cross sectional study. International Journal of Surgery Open, 26, pp.16-21.</w:t>
      </w:r>
    </w:p>
    <w:p w:rsidR="00D0184C" w:rsidRPr="00D0184C" w:rsidRDefault="00D0184C" w:rsidP="00D0184C">
      <w:pPr>
        <w:widowControl/>
        <w:numPr>
          <w:ilvl w:val="0"/>
          <w:numId w:val="4"/>
        </w:numPr>
        <w:spacing w:after="160" w:line="259" w:lineRule="auto"/>
        <w:contextualSpacing/>
        <w:jc w:val="both"/>
        <w:rPr>
          <w:rFonts w:ascii="Times New Roman" w:eastAsia="Calibri" w:hAnsi="Times New Roman" w:cs="Times New Roman"/>
          <w:sz w:val="18"/>
          <w:szCs w:val="18"/>
        </w:rPr>
      </w:pPr>
      <w:r w:rsidRPr="00D0184C">
        <w:rPr>
          <w:rFonts w:ascii="Times New Roman" w:eastAsia="Calibri" w:hAnsi="Times New Roman" w:cs="Times New Roman"/>
          <w:sz w:val="18"/>
          <w:szCs w:val="18"/>
        </w:rPr>
        <w:t>Tsegay EW, Demise DG, Hailu NA, Gufue ZH. Serotonin Type 6 and 7 Receptors as a Novel Therapeutic Target for the Treatment of Schizophrenia. Neuropsychiatr Dis Treat. 2020 Oct 28; 16:2499-2509. doi: 10.2147/NDT.S263424. PMID: 33149591; PMCID: PMC7604258.</w:t>
      </w:r>
    </w:p>
    <w:p w:rsidR="00D0184C" w:rsidRPr="00D0184C" w:rsidRDefault="00D0184C" w:rsidP="00D0184C">
      <w:pPr>
        <w:widowControl/>
        <w:numPr>
          <w:ilvl w:val="0"/>
          <w:numId w:val="4"/>
        </w:numPr>
        <w:spacing w:after="160" w:line="259" w:lineRule="auto"/>
        <w:contextualSpacing/>
        <w:jc w:val="both"/>
        <w:rPr>
          <w:rFonts w:ascii="Times New Roman" w:eastAsia="Calibri" w:hAnsi="Times New Roman" w:cs="Times New Roman"/>
          <w:sz w:val="18"/>
          <w:szCs w:val="18"/>
        </w:rPr>
      </w:pPr>
      <w:r w:rsidRPr="00D0184C">
        <w:rPr>
          <w:rFonts w:ascii="Times New Roman" w:eastAsia="Calibri" w:hAnsi="Times New Roman" w:cs="Times New Roman"/>
          <w:sz w:val="18"/>
          <w:szCs w:val="18"/>
        </w:rPr>
        <w:t xml:space="preserve">Gebrie D, Getnet D, Manyazewal T. Cardiovascular safety and efficacy of metformin-SGLT2i versus metformin-sulfonylureas in type 2 diabetes: systematic review and meta-analysis of randomized controlled trials. Sci Rep. 2021 Jan 8; 11(1):137. doi: 10.1038/s41598-020-80603-8. PMID: 33420333; PMCID: PMC7794474. </w:t>
      </w:r>
    </w:p>
    <w:p w:rsidR="00D0184C" w:rsidRPr="00D0184C" w:rsidRDefault="00D0184C" w:rsidP="00D0184C">
      <w:pPr>
        <w:widowControl/>
        <w:numPr>
          <w:ilvl w:val="0"/>
          <w:numId w:val="4"/>
        </w:numPr>
        <w:spacing w:after="160" w:line="259" w:lineRule="auto"/>
        <w:contextualSpacing/>
        <w:jc w:val="both"/>
        <w:rPr>
          <w:rFonts w:ascii="Times New Roman" w:eastAsia="Calibri" w:hAnsi="Times New Roman" w:cs="Times New Roman"/>
          <w:sz w:val="18"/>
          <w:szCs w:val="18"/>
        </w:rPr>
      </w:pPr>
      <w:r w:rsidRPr="00D0184C">
        <w:rPr>
          <w:rFonts w:ascii="Times New Roman" w:eastAsia="Calibri" w:hAnsi="Times New Roman" w:cs="Times New Roman"/>
          <w:sz w:val="18"/>
          <w:szCs w:val="18"/>
        </w:rPr>
        <w:t xml:space="preserve">Gebrie D, Getnet D, Manyazewal T. Efficacy of remdesivir in patients with COVID-19: a protocol for systematic review and meta-analysis of randomised controlled trials. BMJ Open. 2020 Jun 4; </w:t>
      </w:r>
      <w:r w:rsidRPr="00D0184C">
        <w:rPr>
          <w:rFonts w:ascii="Times New Roman" w:eastAsia="Calibri" w:hAnsi="Times New Roman" w:cs="Times New Roman"/>
          <w:sz w:val="18"/>
          <w:szCs w:val="18"/>
        </w:rPr>
        <w:lastRenderedPageBreak/>
        <w:t>10(6):e039159. doi: 10.1136/bmjopen-2020-039159. PMID: 32503874; PMCID: PMC7298683.</w:t>
      </w:r>
    </w:p>
    <w:p w:rsidR="00D0184C" w:rsidRPr="00D0184C" w:rsidRDefault="00D0184C" w:rsidP="00D0184C">
      <w:pPr>
        <w:widowControl/>
        <w:numPr>
          <w:ilvl w:val="0"/>
          <w:numId w:val="4"/>
        </w:numPr>
        <w:spacing w:after="160" w:line="259" w:lineRule="auto"/>
        <w:contextualSpacing/>
        <w:jc w:val="both"/>
        <w:rPr>
          <w:rFonts w:ascii="Times New Roman" w:eastAsia="Calibri" w:hAnsi="Times New Roman" w:cs="Times New Roman"/>
          <w:sz w:val="18"/>
          <w:szCs w:val="18"/>
        </w:rPr>
      </w:pPr>
      <w:r w:rsidRPr="00D0184C">
        <w:rPr>
          <w:rFonts w:ascii="Times New Roman" w:eastAsia="Calibri" w:hAnsi="Times New Roman" w:cs="Times New Roman"/>
          <w:sz w:val="18"/>
          <w:szCs w:val="18"/>
        </w:rPr>
        <w:t>TilahunBantie A, Admasu W, Mulugeta S, Bacha AR, GetnetDemsie D. Effectiveness of Propofol versus Dexamethasone for Prevention of Postoperative Nausea and Vomiting in Ear, Nose, and Throat Surgery in TikurAnbessa Specialized Hospital and Yekatit 12th Hospital, Addis Ababa, Ethiopia.Anesthesiol Res Pract. 2020 Sep 7;2020:4258137. doi: 10.1155/2020/4258137. PMID: 32963522; PMCID: PMC7492878.</w:t>
      </w:r>
    </w:p>
    <w:p w:rsidR="00D0184C" w:rsidRPr="00D0184C" w:rsidRDefault="00D0184C" w:rsidP="00D0184C">
      <w:pPr>
        <w:widowControl/>
        <w:numPr>
          <w:ilvl w:val="0"/>
          <w:numId w:val="4"/>
        </w:numPr>
        <w:spacing w:after="160" w:line="259" w:lineRule="auto"/>
        <w:contextualSpacing/>
        <w:jc w:val="both"/>
        <w:rPr>
          <w:rFonts w:ascii="Times New Roman" w:eastAsia="Calibri" w:hAnsi="Times New Roman" w:cs="Times New Roman"/>
          <w:sz w:val="18"/>
          <w:szCs w:val="18"/>
        </w:rPr>
      </w:pPr>
      <w:r w:rsidRPr="00D0184C">
        <w:rPr>
          <w:rFonts w:ascii="Times New Roman" w:eastAsia="Calibri" w:hAnsi="Times New Roman" w:cs="Times New Roman"/>
          <w:sz w:val="18"/>
          <w:szCs w:val="18"/>
        </w:rPr>
        <w:t>Tilahun, A., Seifu, A., Aregawi, A., Abera, B. and Demsie, D., 2020. Effectiveness of meperidine versus tramadol on post spinal anesthesia shivering in elective cesarean section: A prospective observational cohort study. International Journal of Surgery Open, 28, pp.22-26.</w:t>
      </w:r>
    </w:p>
    <w:p w:rsidR="00D0184C" w:rsidRPr="00D0184C" w:rsidRDefault="00D0184C" w:rsidP="00D0184C">
      <w:pPr>
        <w:widowControl/>
        <w:numPr>
          <w:ilvl w:val="0"/>
          <w:numId w:val="4"/>
        </w:numPr>
        <w:spacing w:after="160" w:line="259" w:lineRule="auto"/>
        <w:contextualSpacing/>
        <w:jc w:val="both"/>
        <w:rPr>
          <w:rFonts w:ascii="Times New Roman" w:eastAsia="Calibri" w:hAnsi="Times New Roman" w:cs="Times New Roman"/>
          <w:sz w:val="18"/>
          <w:szCs w:val="18"/>
        </w:rPr>
      </w:pPr>
      <w:r w:rsidRPr="00D0184C">
        <w:rPr>
          <w:rFonts w:ascii="Times New Roman" w:eastAsia="Calibri" w:hAnsi="Times New Roman" w:cs="Times New Roman"/>
          <w:sz w:val="18"/>
          <w:szCs w:val="18"/>
        </w:rPr>
        <w:t>Ayele AA, Gebresillassie BM, Erku DA, Gebreyohannes EA, Demssie DG, Mersha AG, Tegegn HG. Prospective evaluation of Ceftriaxone use in medical and emergency wards of Gondar university referral hospital, Ethiopia.Pharmacol Res Perspect. 2018 Feb;6(1):e00383. doi: 10.1002/prp2.383. PMID: 29417764; PMCID: PMC5817827.</w:t>
      </w:r>
    </w:p>
    <w:p w:rsidR="00D0184C" w:rsidRPr="00D0184C" w:rsidRDefault="00D0184C" w:rsidP="00D0184C">
      <w:pPr>
        <w:widowControl/>
        <w:numPr>
          <w:ilvl w:val="0"/>
          <w:numId w:val="4"/>
        </w:numPr>
        <w:spacing w:after="160" w:line="259" w:lineRule="auto"/>
        <w:contextualSpacing/>
        <w:jc w:val="both"/>
        <w:rPr>
          <w:rFonts w:ascii="Times New Roman" w:eastAsia="Calibri" w:hAnsi="Times New Roman" w:cs="Times New Roman"/>
          <w:sz w:val="18"/>
          <w:szCs w:val="18"/>
        </w:rPr>
      </w:pPr>
      <w:r w:rsidRPr="00D0184C">
        <w:rPr>
          <w:rFonts w:ascii="Times New Roman" w:eastAsia="Calibri" w:hAnsi="Times New Roman" w:cs="Times New Roman"/>
          <w:sz w:val="18"/>
          <w:szCs w:val="18"/>
        </w:rPr>
        <w:t>Araya EM, Gebrezgabiher HA, Tekulu GH, Alema NM, Getnet D, Gebru HT, Adamu BA. Medication Non-Adherence and Associated Factors Among Diabetic Patients Visiting General Hospitals in the Eastern Zone of Tigrai, Northern Ethiopia. Patient Prefer Adherence. 2020 Oct 29; 14:2071-2083. doi: 10.2147/PPA.S278148. PMID: 33154631; PMCID: PMC7605964.</w:t>
      </w:r>
    </w:p>
    <w:p w:rsidR="00D0184C" w:rsidRPr="00D0184C" w:rsidRDefault="00D0184C" w:rsidP="00D0184C">
      <w:pPr>
        <w:widowControl/>
        <w:numPr>
          <w:ilvl w:val="0"/>
          <w:numId w:val="4"/>
        </w:numPr>
        <w:spacing w:after="160" w:line="259" w:lineRule="auto"/>
        <w:contextualSpacing/>
        <w:rPr>
          <w:rFonts w:ascii="Times New Roman" w:eastAsia="Calibri" w:hAnsi="Times New Roman" w:cs="Times New Roman"/>
          <w:sz w:val="18"/>
          <w:szCs w:val="18"/>
        </w:rPr>
      </w:pPr>
      <w:r w:rsidRPr="00D0184C">
        <w:rPr>
          <w:rFonts w:ascii="Times New Roman" w:eastAsia="Calibri" w:hAnsi="Times New Roman" w:cs="Times New Roman"/>
          <w:sz w:val="18"/>
          <w:szCs w:val="18"/>
        </w:rPr>
        <w:t>GBD 2017 Oral Disorders Collaborators, Bernabe E, Marcenes W…DemsieDG,..Kassebaum NJ. Global, Regional, and National Levels and Trends in Burden of Oral Conditions from 1990 to 2017: A Systematic Analysis for the Global Burden of Disease 2017 Study. J Dent Res. 2020 Apr;99(4):362-373. doi: 10.1177/0022034520908533. Epub 2020 Mar 2. PMID: 32122215; PMCID: PMC7088322.</w:t>
      </w:r>
    </w:p>
    <w:p w:rsidR="00D0184C" w:rsidRPr="00D0184C" w:rsidRDefault="00D0184C" w:rsidP="00D0184C">
      <w:pPr>
        <w:widowControl/>
        <w:numPr>
          <w:ilvl w:val="0"/>
          <w:numId w:val="4"/>
        </w:numPr>
        <w:spacing w:after="160" w:line="259" w:lineRule="auto"/>
        <w:contextualSpacing/>
        <w:rPr>
          <w:rFonts w:ascii="Times New Roman" w:eastAsia="Calibri" w:hAnsi="Times New Roman" w:cs="Times New Roman"/>
          <w:sz w:val="18"/>
          <w:szCs w:val="18"/>
        </w:rPr>
      </w:pPr>
      <w:r w:rsidRPr="00D0184C">
        <w:rPr>
          <w:rFonts w:ascii="Times New Roman" w:eastAsia="Calibri" w:hAnsi="Times New Roman" w:cs="Times New Roman"/>
          <w:sz w:val="18"/>
          <w:szCs w:val="18"/>
        </w:rPr>
        <w:t>GBD 2019 Risk Factors Collaborators. Global burden of 87 risk factors in 204 countries and territories, 1990-2019: a systematic analysis for the Global Burden of Disease Study 2019. Lancet. 2020 Oct 17;396(10258):1223-1249. doi: 10.1016/S0140-6736(20)30752-2. PMID: 33069327; PMCID: PMC7566194.</w:t>
      </w:r>
    </w:p>
    <w:p w:rsidR="00D0184C" w:rsidRPr="00D0184C" w:rsidRDefault="00D0184C" w:rsidP="00D0184C">
      <w:pPr>
        <w:widowControl/>
        <w:numPr>
          <w:ilvl w:val="0"/>
          <w:numId w:val="4"/>
        </w:numPr>
        <w:spacing w:after="160" w:line="259" w:lineRule="auto"/>
        <w:contextualSpacing/>
        <w:jc w:val="both"/>
        <w:rPr>
          <w:rFonts w:ascii="Times New Roman" w:eastAsia="Calibri" w:hAnsi="Times New Roman" w:cs="Times New Roman"/>
          <w:sz w:val="18"/>
          <w:szCs w:val="18"/>
        </w:rPr>
      </w:pPr>
      <w:r w:rsidRPr="00D0184C">
        <w:rPr>
          <w:rFonts w:ascii="Times New Roman" w:eastAsia="Calibri" w:hAnsi="Times New Roman" w:cs="Times New Roman"/>
          <w:sz w:val="18"/>
          <w:szCs w:val="18"/>
        </w:rPr>
        <w:t xml:space="preserve">James SL, Castle CD,..Demsie DG,…Vos T. Estimating global injuries morbidity and mortality: methods and data used in the Global Burden of Disease 2017 study. Inj Prev. 2020 Oct; 26(Supp </w:t>
      </w:r>
      <w:r w:rsidRPr="00D0184C">
        <w:rPr>
          <w:rFonts w:ascii="Times New Roman" w:eastAsia="Calibri" w:hAnsi="Times New Roman" w:cs="Times New Roman"/>
          <w:sz w:val="18"/>
          <w:szCs w:val="18"/>
        </w:rPr>
        <w:lastRenderedPageBreak/>
        <w:t>1):i125-i153. doi: 10.1136/injuryprev-2019-043531. Epub 2020 Aug 24. PMID: 32839249; PMCID: PMC7571362.</w:t>
      </w:r>
    </w:p>
    <w:p w:rsidR="00D0184C" w:rsidRPr="00D0184C" w:rsidRDefault="00D0184C" w:rsidP="00D0184C">
      <w:pPr>
        <w:widowControl/>
        <w:numPr>
          <w:ilvl w:val="0"/>
          <w:numId w:val="4"/>
        </w:numPr>
        <w:spacing w:after="160" w:line="259" w:lineRule="auto"/>
        <w:contextualSpacing/>
        <w:jc w:val="both"/>
        <w:rPr>
          <w:rFonts w:ascii="Times New Roman" w:eastAsia="Calibri" w:hAnsi="Times New Roman" w:cs="Times New Roman"/>
          <w:sz w:val="18"/>
          <w:szCs w:val="18"/>
        </w:rPr>
      </w:pPr>
      <w:r w:rsidRPr="00D0184C">
        <w:rPr>
          <w:rFonts w:ascii="Times New Roman" w:eastAsia="Calibri" w:hAnsi="Times New Roman" w:cs="Times New Roman"/>
          <w:sz w:val="18"/>
          <w:szCs w:val="18"/>
        </w:rPr>
        <w:t>GBD 2019 Viewpoint Collaborators. Five insights from the Global Burden of Disease Study 2019. Lancet. 2020 Oct 17;396(10258):1135-1159. doi: 10.1016/S0140-6736(20)31404-5. PMID: 33069324; PMCID: PMC7116361.</w:t>
      </w:r>
    </w:p>
    <w:p w:rsidR="00D0184C" w:rsidRPr="00D0184C" w:rsidRDefault="00D0184C" w:rsidP="00D0184C">
      <w:pPr>
        <w:widowControl/>
        <w:numPr>
          <w:ilvl w:val="0"/>
          <w:numId w:val="4"/>
        </w:numPr>
        <w:spacing w:after="160" w:line="259" w:lineRule="auto"/>
        <w:contextualSpacing/>
        <w:jc w:val="both"/>
        <w:rPr>
          <w:rFonts w:ascii="Times New Roman" w:eastAsia="Calibri" w:hAnsi="Times New Roman" w:cs="Times New Roman"/>
          <w:sz w:val="18"/>
          <w:szCs w:val="18"/>
        </w:rPr>
      </w:pPr>
      <w:r w:rsidRPr="00D0184C">
        <w:rPr>
          <w:rFonts w:ascii="Times New Roman" w:eastAsia="Calibri" w:hAnsi="Times New Roman" w:cs="Times New Roman"/>
          <w:sz w:val="18"/>
          <w:szCs w:val="18"/>
        </w:rPr>
        <w:t>GBD 2019 Diseases and Injuries Collaborators. Global burden of 369 diseases and injuries in 204 countries and territories, 1990-2019: a systematic analysis for the Global Burden of Disease Study 2019. Lancet. 2020 Oct 17;396(10258):1204-1222. doi: 10.1016/S0140-6736(20)30925-9. Erratum in: Lancet. 2020 Nov 14;396(10262):1562. PMID: 33069326; PMCID: PMC7567026.</w:t>
      </w:r>
    </w:p>
    <w:p w:rsidR="00D0184C" w:rsidRPr="00D0184C" w:rsidRDefault="00D0184C" w:rsidP="00D0184C">
      <w:pPr>
        <w:widowControl/>
        <w:numPr>
          <w:ilvl w:val="0"/>
          <w:numId w:val="4"/>
        </w:numPr>
        <w:spacing w:after="160" w:line="259" w:lineRule="auto"/>
        <w:contextualSpacing/>
        <w:rPr>
          <w:rFonts w:ascii="Times New Roman" w:eastAsia="Calibri" w:hAnsi="Times New Roman" w:cs="Times New Roman"/>
          <w:sz w:val="18"/>
          <w:szCs w:val="18"/>
        </w:rPr>
      </w:pPr>
      <w:r w:rsidRPr="00D0184C">
        <w:rPr>
          <w:rFonts w:ascii="Times New Roman" w:eastAsia="Calibri" w:hAnsi="Times New Roman" w:cs="Times New Roman"/>
          <w:sz w:val="18"/>
          <w:szCs w:val="18"/>
        </w:rPr>
        <w:t>James SL, Castle CD…DemsieDG, …Vos T. Global injury morbidity and mortality from 1990 to 2017: results from the Global Burden of Disease Study 2017. Inj Prev. 2020 Oct; 26 (Supp 1):i96-i114. doi: 10.1136/injuryprev-2019-043494. Epub 2020 Apr 24. Erratum in: Inj Prev. 2020 Sep 28; PMID: 32332142; PMCID: PMC7571366.</w:t>
      </w:r>
    </w:p>
    <w:p w:rsidR="00D0184C" w:rsidRPr="00D0184C" w:rsidRDefault="00D0184C" w:rsidP="00D0184C">
      <w:pPr>
        <w:widowControl/>
        <w:numPr>
          <w:ilvl w:val="0"/>
          <w:numId w:val="4"/>
        </w:numPr>
        <w:spacing w:after="160" w:line="259" w:lineRule="auto"/>
        <w:contextualSpacing/>
        <w:rPr>
          <w:rFonts w:ascii="Times New Roman" w:eastAsia="Calibri" w:hAnsi="Times New Roman" w:cs="Times New Roman"/>
          <w:sz w:val="18"/>
          <w:szCs w:val="18"/>
        </w:rPr>
      </w:pPr>
      <w:r w:rsidRPr="00D0184C">
        <w:rPr>
          <w:rFonts w:ascii="Times New Roman" w:eastAsia="Calibri" w:hAnsi="Times New Roman" w:cs="Times New Roman"/>
          <w:sz w:val="18"/>
          <w:szCs w:val="18"/>
        </w:rPr>
        <w:t>Allene, M.D. and Demsie, D.G., 2020. Incidence and factors associated with postoperative nausea and vomiting at DebreBerhan referral hospital, NorthShewa, Ethiopia: Across-sectional study. International Journal of Surgery Open, 25, pp.29-34.</w:t>
      </w:r>
    </w:p>
    <w:p w:rsidR="00D0184C" w:rsidRPr="00D0184C" w:rsidRDefault="00D0184C" w:rsidP="00D0184C">
      <w:pPr>
        <w:widowControl/>
        <w:numPr>
          <w:ilvl w:val="0"/>
          <w:numId w:val="4"/>
        </w:numPr>
        <w:spacing w:after="160" w:line="259" w:lineRule="auto"/>
        <w:contextualSpacing/>
        <w:jc w:val="both"/>
        <w:rPr>
          <w:rFonts w:ascii="Times New Roman" w:eastAsia="Calibri" w:hAnsi="Times New Roman" w:cs="Times New Roman"/>
          <w:sz w:val="18"/>
          <w:szCs w:val="18"/>
        </w:rPr>
      </w:pPr>
      <w:r w:rsidRPr="00D0184C">
        <w:rPr>
          <w:rFonts w:ascii="Times New Roman" w:eastAsia="Calibri" w:hAnsi="Times New Roman" w:cs="Times New Roman"/>
          <w:sz w:val="18"/>
          <w:szCs w:val="18"/>
        </w:rPr>
        <w:t>Alema NM, Semagn G, Melesse S, Araya EM, Gebremedhin H, Demsie DG, Asgedom SW, Weldekidan E. Patterns and determinants of prescribed drug use among pregnant women in Adigrat general hospital, northern Ethiopia: a cross-sectional study. BMC Pregnancy Childbirth. 2020 Oct 15;20(1):624. doi: 10.1186/s12884-020-03327-7. PMID: 33059613; PMCID: PMC7558672.</w:t>
      </w:r>
    </w:p>
    <w:p w:rsidR="00D0184C" w:rsidRDefault="00D0184C" w:rsidP="00D0184C">
      <w:pPr>
        <w:widowControl/>
        <w:numPr>
          <w:ilvl w:val="0"/>
          <w:numId w:val="4"/>
        </w:numPr>
        <w:spacing w:after="160" w:line="259" w:lineRule="auto"/>
        <w:contextualSpacing/>
        <w:jc w:val="both"/>
        <w:rPr>
          <w:rFonts w:ascii="Times New Roman" w:eastAsia="Calibri" w:hAnsi="Times New Roman" w:cs="Times New Roman"/>
          <w:sz w:val="18"/>
          <w:szCs w:val="18"/>
        </w:rPr>
      </w:pPr>
      <w:r w:rsidRPr="00D0184C">
        <w:rPr>
          <w:rFonts w:ascii="Times New Roman" w:eastAsia="Calibri" w:hAnsi="Times New Roman" w:cs="Times New Roman"/>
          <w:sz w:val="18"/>
          <w:szCs w:val="18"/>
        </w:rPr>
        <w:t>Gebretsadik Z, Gebrehans M, Getnet D, Gebrie D, Alema T, Belay YB. Assessment of Drug-Drug Interaction in Ayder Comprehensive Specialized Hospital, Mekelle, Northern Ethiopia: A Retrospective Study. Biomed Res Int. 2017; 2017:9792363. doi: 10.1155/2017/9792363. Epub 2017 Nov 8. PMID: 29250554; PMCID: PMC5698828.</w:t>
      </w:r>
    </w:p>
    <w:p w:rsidR="00D0184C" w:rsidRPr="00D0184C" w:rsidRDefault="00D0184C" w:rsidP="00D0184C">
      <w:pPr>
        <w:widowControl/>
        <w:numPr>
          <w:ilvl w:val="0"/>
          <w:numId w:val="4"/>
        </w:numPr>
        <w:spacing w:after="160" w:line="259" w:lineRule="auto"/>
        <w:contextualSpacing/>
        <w:jc w:val="both"/>
        <w:rPr>
          <w:rFonts w:ascii="Times New Roman" w:eastAsia="Calibri" w:hAnsi="Times New Roman" w:cs="Times New Roman"/>
          <w:sz w:val="18"/>
          <w:szCs w:val="18"/>
        </w:rPr>
      </w:pPr>
      <w:r w:rsidRPr="00D0184C">
        <w:rPr>
          <w:rFonts w:ascii="Times New Roman" w:hAnsi="Times New Roman" w:cs="Times New Roman"/>
          <w:color w:val="212121"/>
          <w:sz w:val="18"/>
          <w:szCs w:val="18"/>
          <w:shd w:val="clear" w:color="auto" w:fill="FFFFFF"/>
        </w:rPr>
        <w:t>Alema NM, Asgedom SW, Maru M, Berihun B, Gebrehiwet T, Atey TM, Demsie DG, Bantie AT, Yehualaw A, Taferre C, Seid SA, Girma T, Allene MD, Tamru SM. Magnitude and predictors of first-line antiretroviral therapy regimen change among HIV infected adults: A retrospective cross sectional study. Ann Med Surg (Lond). 2022 Aug 17;81:104303. doi: 10.1016/j.amsu.2022.104303. PMID: 36147157; PMCID: PMC9486446.</w:t>
      </w:r>
    </w:p>
    <w:p w:rsidR="00D0184C" w:rsidRPr="00D0184C" w:rsidRDefault="00D0184C" w:rsidP="00D0184C">
      <w:pPr>
        <w:widowControl/>
        <w:numPr>
          <w:ilvl w:val="0"/>
          <w:numId w:val="4"/>
        </w:numPr>
        <w:spacing w:after="160" w:line="259" w:lineRule="auto"/>
        <w:contextualSpacing/>
        <w:jc w:val="both"/>
        <w:rPr>
          <w:rFonts w:ascii="Times New Roman" w:eastAsia="Calibri" w:hAnsi="Times New Roman" w:cs="Times New Roman"/>
          <w:sz w:val="18"/>
          <w:szCs w:val="18"/>
        </w:rPr>
        <w:sectPr w:rsidR="00D0184C" w:rsidRPr="00D0184C" w:rsidSect="008E5477">
          <w:type w:val="continuous"/>
          <w:pgSz w:w="11910" w:h="16840"/>
          <w:pgMar w:top="995"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994A61">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BC6A8C" w:rsidRDefault="00994A61" w:rsidP="00404E5B">
      <w:pPr>
        <w:spacing w:before="92"/>
        <w:ind w:right="4234"/>
        <w:rPr>
          <w:rFonts w:ascii="Arial"/>
          <w:color w:val="BF5A1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5440680</wp:posOffset>
                </wp:positionH>
                <wp:positionV relativeFrom="paragraph">
                  <wp:posOffset>153670</wp:posOffset>
                </wp:positionV>
                <wp:extent cx="1633220" cy="1485900"/>
                <wp:effectExtent l="19050" t="19050" r="24130" b="1905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3220" cy="14859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Pr="00BC6A8C" w:rsidRDefault="00BC6A8C" w:rsidP="00BC6A8C">
                            <w:r w:rsidRPr="00BC6A8C">
                              <w:rPr>
                                <w:noProof/>
                              </w:rPr>
                              <w:drawing>
                                <wp:inline distT="0" distB="0" distL="0" distR="0">
                                  <wp:extent cx="1209675" cy="1209675"/>
                                  <wp:effectExtent l="19050" t="0" r="9525" b="0"/>
                                  <wp:docPr id="6" name="Picture 1"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0"/>
                                          <a:srcRect/>
                                          <a:stretch>
                                            <a:fillRect/>
                                          </a:stretch>
                                        </pic:blipFill>
                                        <pic:spPr bwMode="auto">
                                          <a:xfrm>
                                            <a:off x="0" y="0"/>
                                            <a:ext cx="1209675" cy="12096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28.4pt;margin-top:12.1pt;width:128.6pt;height:1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" strokecolor="#9bbb59" strokeweight="2.5pt">
                <v:shadow color="#868686"/>
                <v:textbox>
                  <w:txbxContent>
                    <w:p w:rsidR="00A52075" w:rsidRPr="00BC6A8C" w:rsidRDefault="00BC6A8C" w:rsidP="00BC6A8C">
                      <w:r w:rsidRPr="00BC6A8C">
                        <w:rPr>
                          <w:noProof/>
                        </w:rPr>
                        <w:drawing>
                          <wp:inline distT="0" distB="0" distL="0" distR="0">
                            <wp:extent cx="1209675" cy="1209675"/>
                            <wp:effectExtent l="19050" t="0" r="9525" b="0"/>
                            <wp:docPr id="6" name="Picture 1"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0"/>
                                    <a:srcRect/>
                                    <a:stretch>
                                      <a:fillRect/>
                                    </a:stretch>
                                  </pic:blipFill>
                                  <pic:spPr bwMode="auto">
                                    <a:xfrm>
                                      <a:off x="0" y="0"/>
                                      <a:ext cx="1209675" cy="1209675"/>
                                    </a:xfrm>
                                    <a:prstGeom prst="rect">
                                      <a:avLst/>
                                    </a:prstGeom>
                                    <a:noFill/>
                                    <a:ln w="9525">
                                      <a:noFill/>
                                      <a:miter lim="800000"/>
                                      <a:headEnd/>
                                      <a:tailEnd/>
                                    </a:ln>
                                  </pic:spPr>
                                </pic:pic>
                              </a:graphicData>
                            </a:graphic>
                          </wp:inline>
                        </w:drawing>
                      </w:r>
                    </w:p>
                  </w:txbxContent>
                </v:textbox>
              </v:roundrect>
            </w:pict>
          </mc:Fallback>
        </mc:AlternateContent>
      </w:r>
      <w:r w:rsidR="008756E6">
        <w:rPr>
          <w:noProof/>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BC6A8C" w:rsidRDefault="00BC6A8C" w:rsidP="00404E5B">
      <w:pPr>
        <w:spacing w:before="92"/>
        <w:ind w:right="4234"/>
        <w:rPr>
          <w:rFonts w:ascii="Arial"/>
          <w:color w:val="BF5A14"/>
        </w:rPr>
      </w:pPr>
    </w:p>
    <w:p w:rsidR="00BC6A8C" w:rsidRDefault="00BC6A8C" w:rsidP="00404E5B">
      <w:pPr>
        <w:spacing w:before="92"/>
        <w:ind w:right="4234"/>
        <w:rPr>
          <w:rFonts w:ascii="Arial"/>
          <w:color w:val="BF5A14"/>
        </w:rPr>
      </w:pPr>
    </w:p>
    <w:p w:rsidR="00BC6A8C" w:rsidRDefault="00BC6A8C" w:rsidP="00404E5B">
      <w:pPr>
        <w:spacing w:before="92"/>
        <w:ind w:right="4234"/>
        <w:rPr>
          <w:rFonts w:ascii="Arial"/>
          <w:color w:val="BF5A14"/>
        </w:rPr>
      </w:pPr>
    </w:p>
    <w:p w:rsidR="00BC6A8C" w:rsidRDefault="00BC6A8C" w:rsidP="00BC6A8C">
      <w:pPr>
        <w:spacing w:before="92"/>
        <w:ind w:right="4234"/>
        <w:rPr>
          <w:rFonts w:ascii="Arial"/>
          <w:color w:val="BF5A14"/>
        </w:rPr>
      </w:pPr>
    </w:p>
    <w:p w:rsidR="00731DB3" w:rsidRPr="00BC6A8C" w:rsidRDefault="00A9710C" w:rsidP="00BC6A8C">
      <w:pPr>
        <w:spacing w:before="92"/>
        <w:ind w:right="4234"/>
        <w:rPr>
          <w:rFonts w:ascii="Arial"/>
        </w:rPr>
      </w:pPr>
      <w:r>
        <w:rPr>
          <w:rFonts w:ascii="Arial"/>
          <w:color w:val="BF5A14"/>
        </w:rPr>
        <w:t>Biography</w:t>
      </w:r>
      <w:r w:rsidR="00404E5B">
        <w:rPr>
          <w:rFonts w:ascii="Arial"/>
          <w:color w:val="BF5A14"/>
        </w:rPr>
        <w:t xml:space="preserve"> (150 word limit)</w:t>
      </w:r>
    </w:p>
    <w:p w:rsidR="00731DB3" w:rsidRPr="00731DB3" w:rsidRDefault="00731DB3" w:rsidP="00731DB3">
      <w:pPr>
        <w:widowControl/>
        <w:shd w:val="clear" w:color="auto" w:fill="FFFFFF"/>
        <w:spacing w:after="160"/>
        <w:jc w:val="both"/>
        <w:rPr>
          <w:rFonts w:ascii="Times New Roman" w:eastAsia="Times New Roman" w:hAnsi="Times New Roman" w:cs="Times New Roman"/>
          <w:color w:val="222222"/>
          <w:sz w:val="18"/>
          <w:szCs w:val="18"/>
        </w:rPr>
      </w:pPr>
      <w:r>
        <w:rPr>
          <w:rFonts w:ascii="Times New Roman" w:eastAsia="Times New Roman" w:hAnsi="Times New Roman" w:cs="Times New Roman"/>
          <w:color w:val="222222"/>
          <w:sz w:val="18"/>
          <w:szCs w:val="18"/>
        </w:rPr>
        <w:t>I am a</w:t>
      </w:r>
      <w:r w:rsidRPr="00731DB3">
        <w:rPr>
          <w:rFonts w:ascii="Times New Roman" w:eastAsia="Times New Roman" w:hAnsi="Times New Roman" w:cs="Times New Roman"/>
          <w:color w:val="222222"/>
          <w:sz w:val="18"/>
          <w:szCs w:val="18"/>
        </w:rPr>
        <w:t xml:space="preserve"> dedicated</w:t>
      </w:r>
      <w:r>
        <w:rPr>
          <w:rFonts w:ascii="Times New Roman" w:eastAsia="Times New Roman" w:hAnsi="Times New Roman" w:cs="Times New Roman"/>
          <w:color w:val="222222"/>
          <w:sz w:val="18"/>
          <w:szCs w:val="18"/>
        </w:rPr>
        <w:t xml:space="preserve"> lecturer and researcher. </w:t>
      </w:r>
      <w:r w:rsidRPr="00731DB3">
        <w:rPr>
          <w:rFonts w:ascii="Times New Roman" w:eastAsia="Times New Roman" w:hAnsi="Times New Roman" w:cs="Times New Roman"/>
          <w:color w:val="222222"/>
          <w:sz w:val="18"/>
          <w:szCs w:val="18"/>
        </w:rPr>
        <w:t>Owing to my strong interest in understanding how a molecule interferes with biological pathways, I conducted reviews on novel targets for antidepressants, COVID-19 and schizophrenia. In addition, I investigated peripheral and central analgesic, and anti-inflammatory activity of a medicinal plant using animal models.</w:t>
      </w:r>
      <w:r>
        <w:rPr>
          <w:rFonts w:ascii="Times New Roman" w:eastAsia="Times New Roman" w:hAnsi="Times New Roman" w:cs="Times New Roman"/>
          <w:color w:val="222222"/>
          <w:sz w:val="18"/>
          <w:szCs w:val="18"/>
        </w:rPr>
        <w:t xml:space="preserve"> </w:t>
      </w:r>
      <w:r w:rsidRPr="00731DB3">
        <w:rPr>
          <w:rFonts w:ascii="Times New Roman" w:eastAsia="Times New Roman" w:hAnsi="Times New Roman" w:cs="Times New Roman"/>
          <w:color w:val="222222"/>
          <w:sz w:val="18"/>
          <w:szCs w:val="18"/>
        </w:rPr>
        <w:t>Besides reviews and experimental research, I have also efficiently been involved with research on</w:t>
      </w:r>
      <w:r>
        <w:rPr>
          <w:rFonts w:ascii="Times New Roman" w:eastAsia="Times New Roman" w:hAnsi="Times New Roman" w:cs="Times New Roman"/>
          <w:color w:val="222222"/>
          <w:sz w:val="18"/>
          <w:szCs w:val="18"/>
        </w:rPr>
        <w:t xml:space="preserve"> use and</w:t>
      </w:r>
      <w:r w:rsidRPr="00731DB3">
        <w:rPr>
          <w:rFonts w:ascii="Times New Roman" w:eastAsia="Times New Roman" w:hAnsi="Times New Roman" w:cs="Times New Roman"/>
          <w:color w:val="222222"/>
          <w:sz w:val="18"/>
          <w:szCs w:val="18"/>
        </w:rPr>
        <w:t xml:space="preserve"> safety of anti-diabetic drugs, antiretroviral agents, antibiotics, and CVS drugs.  Here, I competently used statistical software for data analysis; designed a research method, experimental and clinical; and carried out systematic review and meta-analysis.</w:t>
      </w:r>
      <w:r>
        <w:rPr>
          <w:rFonts w:ascii="Times New Roman" w:eastAsia="Times New Roman" w:hAnsi="Times New Roman" w:cs="Times New Roman"/>
          <w:color w:val="222222"/>
          <w:sz w:val="18"/>
          <w:szCs w:val="18"/>
        </w:rPr>
        <w:t xml:space="preserve"> </w:t>
      </w:r>
      <w:r w:rsidRPr="00731DB3">
        <w:rPr>
          <w:rFonts w:ascii="Times New Roman" w:eastAsia="Times New Roman" w:hAnsi="Times New Roman" w:cs="Times New Roman"/>
          <w:color w:val="222222"/>
          <w:sz w:val="18"/>
          <w:szCs w:val="18"/>
        </w:rPr>
        <w:t xml:space="preserve">Further, I led a project entitled “Institutional preparedness and challenges to prevent and control COVID-19 outbreak among public health institutions and prison centers, in Tigrai, Ethiopia 2020: mixed method study” and have actively participated as Global Burden of Disease/GBD collaborator. </w:t>
      </w:r>
    </w:p>
    <w:p w:rsidR="00AE3E37" w:rsidRDefault="00A9710C">
      <w:pPr>
        <w:spacing w:before="62"/>
        <w:ind w:left="4217" w:right="4235"/>
        <w:jc w:val="center"/>
        <w:rPr>
          <w:rFonts w:ascii="Arial"/>
          <w:sz w:val="14"/>
        </w:rPr>
      </w:pPr>
      <w:r>
        <w:rPr>
          <w:rFonts w:ascii="Arial"/>
          <w:sz w:val="14"/>
        </w:rPr>
        <w:t xml:space="preserve">Email: </w:t>
      </w:r>
      <w:hyperlink r:id="rId12" w:history="1">
        <w:r w:rsidR="00BC6A8C" w:rsidRPr="007D31B4">
          <w:rPr>
            <w:rStyle w:val="Hyperlink"/>
            <w:rFonts w:ascii="Arial"/>
            <w:sz w:val="14"/>
          </w:rPr>
          <w:t>desget361@gmail.com</w:t>
        </w:r>
      </w:hyperlink>
    </w:p>
    <w:p w:rsidR="00AE3E37" w:rsidRDefault="00994A61">
      <w:pPr>
        <w:pStyle w:val="BodyText"/>
        <w:spacing w:before="2"/>
        <w:rPr>
          <w:rFonts w:ascii="Arial"/>
          <w:sz w:val="19"/>
        </w:rPr>
      </w:pPr>
      <w:r>
        <w:rPr>
          <w:noProof/>
        </w:rPr>
        <w:lastRenderedPageBreak/>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D03DD4">
        <w:rPr>
          <w:sz w:val="20"/>
          <w:szCs w:val="20"/>
          <w:lang w:val="en-NZ"/>
        </w:rPr>
        <w:t>Desalegn Getnet Demsie</w:t>
      </w:r>
      <w:r w:rsidRPr="00F35A62">
        <w:rPr>
          <w:sz w:val="20"/>
          <w:szCs w:val="20"/>
          <w:lang w:val="en-NZ"/>
        </w:rPr>
        <w:br/>
        <w:t>Contact number:</w:t>
      </w:r>
      <w:r w:rsidR="00D03DD4">
        <w:rPr>
          <w:sz w:val="20"/>
          <w:szCs w:val="20"/>
          <w:lang w:val="en-NZ"/>
        </w:rPr>
        <w:t>+251937404956</w:t>
      </w:r>
      <w:r w:rsidRPr="00F35A62">
        <w:rPr>
          <w:sz w:val="20"/>
          <w:szCs w:val="20"/>
          <w:lang w:val="en-NZ"/>
        </w:rPr>
        <w:br/>
        <w:t>Twitter account:</w:t>
      </w:r>
      <w:r w:rsidRPr="00F35A62">
        <w:rPr>
          <w:sz w:val="20"/>
          <w:szCs w:val="20"/>
          <w:lang w:val="en-NZ"/>
        </w:rPr>
        <w:br/>
        <w:t>Linked In account:</w:t>
      </w:r>
      <w:r w:rsidR="00D03DD4" w:rsidRPr="00D03DD4">
        <w:t xml:space="preserve"> </w:t>
      </w:r>
      <w:hyperlink r:id="rId13" w:history="1">
        <w:r w:rsidR="00D03DD4">
          <w:rPr>
            <w:rStyle w:val="Hyperlink"/>
            <w:rFonts w:ascii="Segoe UI" w:hAnsi="Segoe UI" w:cs="Segoe UI"/>
            <w:sz w:val="21"/>
            <w:szCs w:val="21"/>
            <w:shd w:val="clear" w:color="auto" w:fill="FFFFFF"/>
          </w:rPr>
          <w:t>linkedin.com/in/desalegn-getnet-65b24bbb</w:t>
        </w:r>
      </w:hyperlink>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w:t>
      </w:r>
      <w:r w:rsidR="00D03DD4">
        <w:rPr>
          <w:sz w:val="20"/>
          <w:szCs w:val="20"/>
          <w:lang w:val="en-NZ"/>
        </w:rPr>
        <w:t>resentation</w:t>
      </w:r>
      <w:r w:rsidRPr="00F35A62">
        <w:rPr>
          <w:sz w:val="20"/>
          <w:szCs w:val="20"/>
          <w:lang w:val="en-NZ"/>
        </w:rPr>
        <w:t>)</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588F" w:rsidRDefault="0049588F">
      <w:r>
        <w:separator/>
      </w:r>
    </w:p>
  </w:endnote>
  <w:endnote w:type="continuationSeparator" w:id="0">
    <w:p w:rsidR="0049588F" w:rsidRDefault="004958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994A61">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588F" w:rsidRDefault="0049588F">
      <w:r>
        <w:separator/>
      </w:r>
    </w:p>
  </w:footnote>
  <w:footnote w:type="continuationSeparator" w:id="0">
    <w:p w:rsidR="0049588F" w:rsidRDefault="0049588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CE65F13"/>
    <w:multiLevelType w:val="hybridMultilevel"/>
    <w:tmpl w:val="C518A24A"/>
    <w:lvl w:ilvl="0" w:tplc="72688DF2">
      <w:start w:val="1"/>
      <w:numFmt w:val="decimal"/>
      <w:lvlText w:val="%1."/>
      <w:lvlJc w:val="left"/>
      <w:pPr>
        <w:ind w:left="360" w:hanging="360"/>
      </w:pPr>
      <w:rPr>
        <w:b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63F6B"/>
    <w:rsid w:val="001D59EB"/>
    <w:rsid w:val="00292ED9"/>
    <w:rsid w:val="00351D9B"/>
    <w:rsid w:val="00380299"/>
    <w:rsid w:val="00404E5B"/>
    <w:rsid w:val="00414F7B"/>
    <w:rsid w:val="004355DC"/>
    <w:rsid w:val="00440038"/>
    <w:rsid w:val="004749B4"/>
    <w:rsid w:val="00475D20"/>
    <w:rsid w:val="00494130"/>
    <w:rsid w:val="0049588F"/>
    <w:rsid w:val="004A2381"/>
    <w:rsid w:val="004F3523"/>
    <w:rsid w:val="00590D60"/>
    <w:rsid w:val="005973B9"/>
    <w:rsid w:val="005B3A56"/>
    <w:rsid w:val="006060CE"/>
    <w:rsid w:val="0061505C"/>
    <w:rsid w:val="0063497F"/>
    <w:rsid w:val="00714354"/>
    <w:rsid w:val="00731DB3"/>
    <w:rsid w:val="00873DF0"/>
    <w:rsid w:val="008756E6"/>
    <w:rsid w:val="00897EC5"/>
    <w:rsid w:val="008A0763"/>
    <w:rsid w:val="008E5477"/>
    <w:rsid w:val="00994A61"/>
    <w:rsid w:val="009B2D44"/>
    <w:rsid w:val="00A07E82"/>
    <w:rsid w:val="00A52075"/>
    <w:rsid w:val="00A9710C"/>
    <w:rsid w:val="00AE3E37"/>
    <w:rsid w:val="00B21A57"/>
    <w:rsid w:val="00B766F2"/>
    <w:rsid w:val="00BC6A8C"/>
    <w:rsid w:val="00BE6743"/>
    <w:rsid w:val="00C33602"/>
    <w:rsid w:val="00C56C74"/>
    <w:rsid w:val="00CD6F55"/>
    <w:rsid w:val="00D0184C"/>
    <w:rsid w:val="00D03DD4"/>
    <w:rsid w:val="00D22F4C"/>
    <w:rsid w:val="00DE3104"/>
    <w:rsid w:val="00DE6170"/>
    <w:rsid w:val="00E30AAC"/>
    <w:rsid w:val="00E81644"/>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925391">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26537945">
      <w:bodyDiv w:val="1"/>
      <w:marLeft w:val="0"/>
      <w:marRight w:val="0"/>
      <w:marTop w:val="0"/>
      <w:marBottom w:val="0"/>
      <w:divBdr>
        <w:top w:val="none" w:sz="0" w:space="0" w:color="auto"/>
        <w:left w:val="none" w:sz="0" w:space="0" w:color="auto"/>
        <w:bottom w:val="none" w:sz="0" w:space="0" w:color="auto"/>
        <w:right w:val="none" w:sz="0" w:space="0" w:color="auto"/>
      </w:divBdr>
    </w:div>
    <w:div w:id="76981279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029846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linkedin.com/in/desalegn-getnet-65b24bbb?lipi=urn%3Ali%3Apage%3Ad_flagship3_profile_view_base_contact_details%3B9AD%2F2mGURgSIFIdG8wA%2Bdg%3D%3D"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esget361@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1549</Words>
  <Characters>8834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wajhul</cp:lastModifiedBy>
  <cp:revision>2</cp:revision>
  <dcterms:created xsi:type="dcterms:W3CDTF">2022-09-26T07:18:00Z</dcterms:created>
  <dcterms:modified xsi:type="dcterms:W3CDTF">2022-09-26T07:18:00Z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