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EB9FD" w14:textId="77777777" w:rsidR="00801A0A" w:rsidRPr="00FC0F90" w:rsidRDefault="00801A0A" w:rsidP="00FC0F90">
      <w:pPr>
        <w:pStyle w:val="Heading1"/>
        <w:spacing w:before="170"/>
        <w:rPr>
          <w:rFonts w:ascii="Times New Roman" w:hAnsi="Times New Roman" w:cs="Times New Roman"/>
          <w:color w:val="337AB7"/>
          <w:sz w:val="24"/>
          <w:szCs w:val="24"/>
        </w:rPr>
      </w:pPr>
    </w:p>
    <w:p w14:paraId="3D5B742D" w14:textId="2FB94110" w:rsidR="00AE3E37" w:rsidRPr="00FC0F90" w:rsidRDefault="00801A0A" w:rsidP="00FC0F90">
      <w:pPr>
        <w:pStyle w:val="Heading1"/>
        <w:spacing w:before="170"/>
        <w:ind w:left="0"/>
        <w:rPr>
          <w:rFonts w:ascii="Times New Roman" w:hAnsi="Times New Roman" w:cs="Times New Roman"/>
          <w:sz w:val="28"/>
          <w:szCs w:val="28"/>
        </w:rPr>
      </w:pPr>
      <w:r w:rsidRPr="00FC0F90">
        <w:rPr>
          <w:rFonts w:ascii="Times New Roman" w:hAnsi="Times New Roman" w:cs="Times New Roman"/>
          <w:sz w:val="28"/>
          <w:szCs w:val="28"/>
        </w:rPr>
        <w:t xml:space="preserve">Cystatin C and Neutrophil Gelatin-associated Lipocalin (NGAL) </w:t>
      </w:r>
      <w:r w:rsidR="00FC0F90" w:rsidRPr="00FC0F90">
        <w:rPr>
          <w:rFonts w:ascii="Times New Roman" w:hAnsi="Times New Roman" w:cs="Times New Roman"/>
          <w:sz w:val="28"/>
          <w:szCs w:val="28"/>
        </w:rPr>
        <w:t xml:space="preserve">can predict acute kidney injury and in-hospital mortality </w:t>
      </w:r>
      <w:r w:rsidRPr="00FC0F90">
        <w:rPr>
          <w:rFonts w:ascii="Times New Roman" w:hAnsi="Times New Roman" w:cs="Times New Roman"/>
          <w:sz w:val="28"/>
          <w:szCs w:val="28"/>
        </w:rPr>
        <w:t xml:space="preserve">in COVID-19 </w:t>
      </w:r>
      <w:r w:rsidR="00FC0F90" w:rsidRPr="00FC0F90">
        <w:rPr>
          <w:rFonts w:ascii="Times New Roman" w:hAnsi="Times New Roman" w:cs="Times New Roman"/>
          <w:sz w:val="28"/>
          <w:szCs w:val="28"/>
        </w:rPr>
        <w:t>p</w:t>
      </w:r>
      <w:r w:rsidRPr="00FC0F90">
        <w:rPr>
          <w:rFonts w:ascii="Times New Roman" w:hAnsi="Times New Roman" w:cs="Times New Roman"/>
          <w:sz w:val="28"/>
          <w:szCs w:val="28"/>
        </w:rPr>
        <w:t xml:space="preserve">atients </w:t>
      </w:r>
    </w:p>
    <w:p w14:paraId="145CA07E" w14:textId="77777777" w:rsidR="00E9233A" w:rsidRPr="00FC0F90" w:rsidRDefault="00E9233A" w:rsidP="00FC0F90">
      <w:pPr>
        <w:pStyle w:val="BodyText"/>
        <w:spacing w:before="73" w:line="198" w:lineRule="exact"/>
        <w:ind w:left="100" w:right="5987"/>
        <w:rPr>
          <w:rFonts w:ascii="Times New Roman" w:hAnsi="Times New Roman" w:cs="Times New Roman"/>
          <w:sz w:val="24"/>
          <w:szCs w:val="24"/>
        </w:rPr>
      </w:pPr>
    </w:p>
    <w:p w14:paraId="5CE151C7" w14:textId="5B9295AE" w:rsidR="00E9233A" w:rsidRPr="00FC0F90" w:rsidRDefault="00FC0F90" w:rsidP="00FC0F90">
      <w:pPr>
        <w:pStyle w:val="BodyText"/>
        <w:spacing w:before="73" w:line="198" w:lineRule="exact"/>
        <w:ind w:right="58"/>
        <w:rPr>
          <w:rFonts w:ascii="Times New Roman" w:hAnsi="Times New Roman" w:cs="Times New Roman"/>
          <w:b/>
          <w:bCs/>
          <w:sz w:val="24"/>
          <w:szCs w:val="24"/>
        </w:rPr>
      </w:pPr>
      <w:r w:rsidRPr="00FC0F90">
        <w:rPr>
          <w:rFonts w:ascii="Times New Roman" w:hAnsi="Times New Roman" w:cs="Times New Roman"/>
          <w:b/>
          <w:bCs/>
          <w:sz w:val="24"/>
          <w:szCs w:val="24"/>
        </w:rPr>
        <w:t>Ashraf A. Elmaraghy</w:t>
      </w:r>
      <w:r w:rsidRPr="00FC0F9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*</w:t>
      </w:r>
      <w:r w:rsidRPr="00FC0F9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E9233A" w:rsidRPr="00FC0F90">
        <w:rPr>
          <w:rFonts w:ascii="Times New Roman" w:hAnsi="Times New Roman" w:cs="Times New Roman"/>
          <w:b/>
          <w:bCs/>
          <w:sz w:val="24"/>
          <w:szCs w:val="24"/>
        </w:rPr>
        <w:t>Sanaa F. Wasfy</w:t>
      </w:r>
      <w:r w:rsidR="00E9233A" w:rsidRPr="00FC0F9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="00E9233A" w:rsidRPr="00FC0F90">
        <w:rPr>
          <w:rFonts w:ascii="Times New Roman" w:hAnsi="Times New Roman" w:cs="Times New Roman"/>
          <w:b/>
          <w:bCs/>
          <w:sz w:val="24"/>
          <w:szCs w:val="24"/>
        </w:rPr>
        <w:t>, Eman F. Wasfey</w:t>
      </w:r>
      <w:r w:rsidR="00E9233A" w:rsidRPr="00FC0F9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="00E9233A" w:rsidRPr="00FC0F90">
        <w:rPr>
          <w:rFonts w:ascii="Times New Roman" w:hAnsi="Times New Roman" w:cs="Times New Roman"/>
          <w:b/>
          <w:bCs/>
          <w:sz w:val="24"/>
          <w:szCs w:val="24"/>
        </w:rPr>
        <w:t>, Eman B. AbdelFatah</w:t>
      </w:r>
      <w:r w:rsidR="00E9233A" w:rsidRPr="00FC0F9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C0F90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9233A" w:rsidRPr="00FC0F90">
        <w:rPr>
          <w:rFonts w:ascii="Times New Roman" w:hAnsi="Times New Roman" w:cs="Times New Roman"/>
          <w:b/>
          <w:bCs/>
          <w:sz w:val="24"/>
          <w:szCs w:val="24"/>
        </w:rPr>
        <w:t xml:space="preserve">Ayman I. Tharwat </w:t>
      </w:r>
      <w:r w:rsidR="00E9233A" w:rsidRPr="00FC0F9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</w:p>
    <w:p w14:paraId="4B0B2A71" w14:textId="6B99A6DB" w:rsidR="00E9233A" w:rsidRPr="00FC0F90" w:rsidRDefault="00E9233A" w:rsidP="00FC0F90">
      <w:pPr>
        <w:pStyle w:val="BodyText"/>
        <w:spacing w:before="73" w:line="198" w:lineRule="exact"/>
        <w:ind w:right="58"/>
        <w:rPr>
          <w:rFonts w:ascii="Times New Roman" w:hAnsi="Times New Roman" w:cs="Times New Roman"/>
          <w:sz w:val="24"/>
          <w:szCs w:val="24"/>
        </w:rPr>
      </w:pPr>
      <w:r w:rsidRPr="00FC0F9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C0F90">
        <w:rPr>
          <w:rFonts w:ascii="Times New Roman" w:hAnsi="Times New Roman" w:cs="Times New Roman"/>
          <w:sz w:val="24"/>
          <w:szCs w:val="24"/>
        </w:rPr>
        <w:t xml:space="preserve">Department of Anesthesia and Intensive Care, Faculty of Medicine, Ain Shams University, Cairo, Egypt </w:t>
      </w:r>
    </w:p>
    <w:p w14:paraId="06680127" w14:textId="11F7D456" w:rsidR="00E9233A" w:rsidRPr="00FC0F90" w:rsidRDefault="00E9233A" w:rsidP="00FC0F90">
      <w:pPr>
        <w:pStyle w:val="BodyText"/>
        <w:spacing w:before="73" w:line="198" w:lineRule="exact"/>
        <w:ind w:right="58"/>
        <w:rPr>
          <w:rFonts w:ascii="Times New Roman" w:hAnsi="Times New Roman" w:cs="Times New Roman"/>
          <w:sz w:val="24"/>
          <w:szCs w:val="24"/>
        </w:rPr>
      </w:pPr>
      <w:r w:rsidRPr="00FC0F9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C0F90">
        <w:rPr>
          <w:rFonts w:ascii="Times New Roman" w:hAnsi="Times New Roman" w:cs="Times New Roman"/>
          <w:sz w:val="24"/>
          <w:szCs w:val="24"/>
        </w:rPr>
        <w:t xml:space="preserve">Department of Biochemistry, Faculty of Pharmacy, Ain Shams University, Cairo, Egypt </w:t>
      </w:r>
    </w:p>
    <w:p w14:paraId="63A6AA1C" w14:textId="77777777" w:rsidR="007979E5" w:rsidRDefault="00E9233A" w:rsidP="007979E5">
      <w:pPr>
        <w:pStyle w:val="BodyText"/>
        <w:spacing w:before="73" w:line="198" w:lineRule="exact"/>
        <w:ind w:right="58"/>
        <w:rPr>
          <w:rFonts w:ascii="Times New Roman" w:hAnsi="Times New Roman" w:cs="Times New Roman"/>
          <w:sz w:val="24"/>
          <w:szCs w:val="24"/>
        </w:rPr>
      </w:pPr>
      <w:r w:rsidRPr="00FC0F9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C0F90">
        <w:rPr>
          <w:rFonts w:ascii="Times New Roman" w:hAnsi="Times New Roman" w:cs="Times New Roman"/>
          <w:sz w:val="24"/>
          <w:szCs w:val="24"/>
        </w:rPr>
        <w:t>Department of Pulmonology, Faculty of Medicine, Ain Shams University, Cairo Egypt</w:t>
      </w:r>
    </w:p>
    <w:p w14:paraId="17589B48" w14:textId="77777777" w:rsidR="007979E5" w:rsidRDefault="007979E5" w:rsidP="007979E5">
      <w:pPr>
        <w:pStyle w:val="BodyText"/>
        <w:spacing w:before="73" w:line="198" w:lineRule="exact"/>
        <w:ind w:right="58"/>
        <w:rPr>
          <w:rFonts w:ascii="Times New Roman" w:hAnsi="Times New Roman" w:cs="Times New Roman"/>
          <w:sz w:val="24"/>
          <w:szCs w:val="24"/>
        </w:rPr>
      </w:pPr>
    </w:p>
    <w:p w14:paraId="0E358C29" w14:textId="3D49DCAB" w:rsidR="00FC0F90" w:rsidRDefault="00A9710C" w:rsidP="007979E5">
      <w:pPr>
        <w:pStyle w:val="BodyText"/>
        <w:spacing w:before="73" w:line="198" w:lineRule="exact"/>
        <w:ind w:right="5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0F90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55A358D9" w14:textId="77777777" w:rsidR="007979E5" w:rsidRDefault="007979E5" w:rsidP="007979E5">
      <w:pPr>
        <w:pStyle w:val="BodyText"/>
        <w:spacing w:before="73" w:line="198" w:lineRule="exact"/>
        <w:ind w:right="58"/>
        <w:jc w:val="center"/>
        <w:rPr>
          <w:rFonts w:ascii="Times New Roman" w:hAnsi="Times New Roman" w:cs="Times New Roman"/>
          <w:sz w:val="24"/>
          <w:szCs w:val="24"/>
        </w:rPr>
      </w:pPr>
    </w:p>
    <w:p w14:paraId="36783727" w14:textId="0EEBFC2A" w:rsidR="00E9233A" w:rsidRPr="00FC0F90" w:rsidRDefault="00E9233A" w:rsidP="00FC0F90">
      <w:pPr>
        <w:pStyle w:val="BodyText"/>
        <w:spacing w:before="90" w:line="2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F90">
        <w:rPr>
          <w:rFonts w:ascii="Times New Roman" w:hAnsi="Times New Roman" w:cs="Times New Roman"/>
          <w:b/>
          <w:bCs/>
          <w:sz w:val="24"/>
          <w:szCs w:val="24"/>
        </w:rPr>
        <w:t xml:space="preserve">Background: </w:t>
      </w:r>
      <w:r w:rsidRPr="00FC0F90">
        <w:rPr>
          <w:rFonts w:ascii="Times New Roman" w:hAnsi="Times New Roman" w:cs="Times New Roman"/>
          <w:sz w:val="24"/>
          <w:szCs w:val="24"/>
        </w:rPr>
        <w:t xml:space="preserve">Prediction and early diagnosis of acute kidney injury (AKI) in critically ill Coronavirus disease 2019 (COVID-19) patients are of great importance. Therefore, using promising renal biomarkers such as cystatin C and neutrophil gelatinase-associated lipocalin (NGAL) to identify the risk of future AKI. </w:t>
      </w:r>
    </w:p>
    <w:p w14:paraId="3CE892DC" w14:textId="77777777" w:rsidR="00E9233A" w:rsidRPr="00FC0F90" w:rsidRDefault="00E9233A" w:rsidP="00FC0F90">
      <w:pPr>
        <w:pStyle w:val="BodyText"/>
        <w:spacing w:before="90" w:line="2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F90">
        <w:rPr>
          <w:rFonts w:ascii="Times New Roman" w:hAnsi="Times New Roman" w:cs="Times New Roman"/>
          <w:b/>
          <w:bCs/>
          <w:sz w:val="24"/>
          <w:szCs w:val="24"/>
        </w:rPr>
        <w:t xml:space="preserve">Materials and Methods: </w:t>
      </w:r>
      <w:r w:rsidRPr="00FC0F90">
        <w:rPr>
          <w:rFonts w:ascii="Times New Roman" w:hAnsi="Times New Roman" w:cs="Times New Roman"/>
          <w:sz w:val="24"/>
          <w:szCs w:val="24"/>
        </w:rPr>
        <w:t xml:space="preserve">A total of 89 adult patients with COVID-19 were included in this study. Serum cystatin C and NGAL concentration were assessed on intensive care unit (ICU) admission then repeated after 48 hours. Serum creatinine was followed for 7 days to report the development of AKI. </w:t>
      </w:r>
    </w:p>
    <w:p w14:paraId="4156C489" w14:textId="77777777" w:rsidR="00E9233A" w:rsidRPr="00FC0F90" w:rsidRDefault="00E9233A" w:rsidP="00FC0F90">
      <w:pPr>
        <w:pStyle w:val="BodyText"/>
        <w:spacing w:before="90" w:line="2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F90">
        <w:rPr>
          <w:rFonts w:ascii="Times New Roman" w:hAnsi="Times New Roman" w:cs="Times New Roman"/>
          <w:b/>
          <w:bCs/>
          <w:sz w:val="24"/>
          <w:szCs w:val="24"/>
        </w:rPr>
        <w:t xml:space="preserve">Results: </w:t>
      </w:r>
      <w:r w:rsidRPr="00FC0F90">
        <w:rPr>
          <w:rFonts w:ascii="Times New Roman" w:hAnsi="Times New Roman" w:cs="Times New Roman"/>
          <w:sz w:val="24"/>
          <w:szCs w:val="24"/>
        </w:rPr>
        <w:t xml:space="preserve">Several 28.1% of COVID-19 patients developed AKI. However, serum creatinine was not significantly different between the AKI group and the non-AKI group (p=0.375), admission Cystatin C (p=0.018), and NGAL (p&lt;0.001) were significantly different between both groups. After 48 hours, a change in Cystatin C level (p&lt;0.001) but not NGAL (p=0.4) was a predictor for AKI. Logistic regression model including age (p=0.031), Cystatin C on 48 hrs (p=0.003) and NGAL on admission (p=0.015) could predict AKI in COVID-19 patients. </w:t>
      </w:r>
    </w:p>
    <w:p w14:paraId="38BE819A" w14:textId="77777777" w:rsidR="00E9233A" w:rsidRPr="00FC0F90" w:rsidRDefault="00E9233A" w:rsidP="00FC0F90">
      <w:pPr>
        <w:pStyle w:val="BodyText"/>
        <w:spacing w:before="90" w:line="2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F90">
        <w:rPr>
          <w:rFonts w:ascii="Times New Roman" w:hAnsi="Times New Roman" w:cs="Times New Roman"/>
          <w:b/>
          <w:bCs/>
          <w:sz w:val="24"/>
          <w:szCs w:val="24"/>
        </w:rPr>
        <w:t xml:space="preserve">Conclusion: </w:t>
      </w:r>
      <w:r w:rsidRPr="00FC0F90">
        <w:rPr>
          <w:rFonts w:ascii="Times New Roman" w:hAnsi="Times New Roman" w:cs="Times New Roman"/>
          <w:sz w:val="24"/>
          <w:szCs w:val="24"/>
        </w:rPr>
        <w:t xml:space="preserve">Serum cystatin and NGAL in ICU could be used to predict AKI in COVID-19 patients. A logistic regression model including age, Cystatin C on 48hrs, and NGAL on admission might be a tool for individualized risk estimation of AKI in COVID-19 patients. </w:t>
      </w:r>
    </w:p>
    <w:p w14:paraId="6C525D28" w14:textId="77777777" w:rsidR="00FC0F90" w:rsidRPr="00FC0F90" w:rsidRDefault="00E9233A" w:rsidP="00FC0F90">
      <w:pPr>
        <w:pStyle w:val="BodyText"/>
        <w:spacing w:before="90" w:line="2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F90">
        <w:rPr>
          <w:rFonts w:ascii="Times New Roman" w:hAnsi="Times New Roman" w:cs="Times New Roman"/>
          <w:b/>
          <w:bCs/>
          <w:sz w:val="24"/>
          <w:szCs w:val="24"/>
        </w:rPr>
        <w:t xml:space="preserve">Keywords: </w:t>
      </w:r>
      <w:r w:rsidRPr="00FC0F90">
        <w:rPr>
          <w:rFonts w:ascii="Times New Roman" w:hAnsi="Times New Roman" w:cs="Times New Roman"/>
          <w:sz w:val="24"/>
          <w:szCs w:val="24"/>
        </w:rPr>
        <w:t>Cystatin C, NGAL, Acute kidney injury, COVID-19, In-hospital mortality</w:t>
      </w:r>
    </w:p>
    <w:p w14:paraId="33CDD628" w14:textId="77777777" w:rsidR="007979E5" w:rsidRDefault="007979E5" w:rsidP="00FC0F90">
      <w:pPr>
        <w:pStyle w:val="BodyText"/>
        <w:spacing w:before="90" w:line="2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2F8DFEF" w14:textId="769456AB" w:rsidR="00AE3E37" w:rsidRPr="00FC0F90" w:rsidRDefault="005973B9" w:rsidP="00FC0F90">
      <w:pPr>
        <w:pStyle w:val="BodyText"/>
        <w:spacing w:before="90" w:line="2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0F90">
        <w:rPr>
          <w:rFonts w:ascii="Times New Roman" w:hAnsi="Times New Roman" w:cs="Times New Roman"/>
          <w:b/>
          <w:bCs/>
          <w:sz w:val="24"/>
          <w:szCs w:val="24"/>
        </w:rPr>
        <w:t>Recent Publications</w:t>
      </w:r>
    </w:p>
    <w:p w14:paraId="2E63C003" w14:textId="77777777" w:rsidR="00801A0A" w:rsidRPr="00FC0F90" w:rsidRDefault="008756E6" w:rsidP="00FC0F90">
      <w:pPr>
        <w:spacing w:line="200" w:lineRule="exact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FC0F90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3C9F0AE" w14:textId="55F6DDE8" w:rsidR="00801A0A" w:rsidRPr="00FC0F90" w:rsidRDefault="00801A0A" w:rsidP="00FC0F90">
      <w:pPr>
        <w:pStyle w:val="ListParagraph"/>
        <w:numPr>
          <w:ilvl w:val="0"/>
          <w:numId w:val="8"/>
        </w:numPr>
        <w:spacing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FC0F90">
        <w:rPr>
          <w:rFonts w:ascii="Times New Roman" w:hAnsi="Times New Roman" w:cs="Times New Roman"/>
          <w:sz w:val="24"/>
          <w:szCs w:val="24"/>
        </w:rPr>
        <w:t xml:space="preserve">Batlle D, Soler MJ, Sparks MA, Hiremath S, South AM, Welling PA, et al. Acute Kidney Injury in COVID-19: Emerging Evidence of a Distinct Pathophysiology. J Am Soc Nephrol. 2020;31(7):1380-3. </w:t>
      </w:r>
    </w:p>
    <w:p w14:paraId="352328E4" w14:textId="7AABDE5A" w:rsidR="00801A0A" w:rsidRPr="00FC0F90" w:rsidRDefault="00801A0A" w:rsidP="00FC0F90">
      <w:pPr>
        <w:pStyle w:val="ListParagraph"/>
        <w:numPr>
          <w:ilvl w:val="0"/>
          <w:numId w:val="8"/>
        </w:numPr>
        <w:spacing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FC0F90">
        <w:rPr>
          <w:rFonts w:ascii="Times New Roman" w:hAnsi="Times New Roman" w:cs="Times New Roman"/>
          <w:sz w:val="24"/>
          <w:szCs w:val="24"/>
        </w:rPr>
        <w:t xml:space="preserve">Alvarez-Belon L, Sarnowski A, Forni LG. COVID-19 infection and the kidney. Br J Hosp Med (Lond). 2020;81(10):1-8. </w:t>
      </w:r>
    </w:p>
    <w:p w14:paraId="20E478F7" w14:textId="2E7E1111" w:rsidR="00801A0A" w:rsidRPr="00FC0F90" w:rsidRDefault="00801A0A" w:rsidP="00FC0F90">
      <w:pPr>
        <w:pStyle w:val="ListParagraph"/>
        <w:numPr>
          <w:ilvl w:val="0"/>
          <w:numId w:val="8"/>
        </w:numPr>
        <w:spacing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FC0F90">
        <w:rPr>
          <w:rFonts w:ascii="Times New Roman" w:hAnsi="Times New Roman" w:cs="Times New Roman"/>
          <w:sz w:val="24"/>
          <w:szCs w:val="24"/>
        </w:rPr>
        <w:lastRenderedPageBreak/>
        <w:t xml:space="preserve">Wang HE, Muntner P, Chertow GM, Warnock DG. Acute kidney injury and mortality in hospitalized patients. Am J Nephrol. 2012;35(4):349-55. </w:t>
      </w:r>
    </w:p>
    <w:p w14:paraId="78014FCD" w14:textId="35618215" w:rsidR="00801A0A" w:rsidRPr="00FC0F90" w:rsidRDefault="00801A0A" w:rsidP="00FC0F90">
      <w:pPr>
        <w:pStyle w:val="ListParagraph"/>
        <w:numPr>
          <w:ilvl w:val="0"/>
          <w:numId w:val="8"/>
        </w:numPr>
        <w:spacing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FC0F90">
        <w:rPr>
          <w:rFonts w:ascii="Times New Roman" w:hAnsi="Times New Roman" w:cs="Times New Roman"/>
          <w:sz w:val="24"/>
          <w:szCs w:val="24"/>
        </w:rPr>
        <w:t xml:space="preserve">Haase M, Bellomo R, Devarajan P, Schlattmann P, Haase-Fielitz A. Accuracy of neutrophil gelatinase-associated lipocalin (NGAL) in diagnosis and prognosis in acute kidney injury: a systematic review and meta-analysis. Am J Kidney Dis. 2009;54(6):1012-24. </w:t>
      </w:r>
    </w:p>
    <w:p w14:paraId="655F74E4" w14:textId="78C82F59" w:rsidR="00801A0A" w:rsidRPr="00FC0F90" w:rsidRDefault="00801A0A" w:rsidP="00FC0F90">
      <w:pPr>
        <w:pStyle w:val="ListParagraph"/>
        <w:numPr>
          <w:ilvl w:val="0"/>
          <w:numId w:val="8"/>
        </w:numPr>
        <w:spacing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FC0F90">
        <w:rPr>
          <w:rFonts w:ascii="Times New Roman" w:hAnsi="Times New Roman" w:cs="Times New Roman"/>
          <w:sz w:val="24"/>
          <w:szCs w:val="24"/>
        </w:rPr>
        <w:t xml:space="preserve">Kashani K, Cheungpasitporn W, Ronco C. Biomarkers of acute kidney injury: the pathway from discovery to clinical adoption. Clin Chem Lab Med. 2017;55(8):1074-89. </w:t>
      </w:r>
    </w:p>
    <w:p w14:paraId="59DE5D53" w14:textId="655F58BE" w:rsidR="00801A0A" w:rsidRPr="00FC0F90" w:rsidRDefault="008756E6" w:rsidP="00FC0F90">
      <w:pPr>
        <w:spacing w:before="92"/>
        <w:ind w:left="100" w:right="4234"/>
        <w:rPr>
          <w:rFonts w:ascii="Times New Roman" w:hAnsi="Times New Roman" w:cs="Times New Roman"/>
          <w:noProof/>
          <w:sz w:val="24"/>
          <w:szCs w:val="24"/>
        </w:rPr>
      </w:pPr>
      <w:r w:rsidRPr="00FC0F90">
        <w:rPr>
          <w:rFonts w:ascii="Times New Roman" w:hAnsi="Times New Roman" w:cs="Times New Roman"/>
          <w:noProof/>
          <w:sz w:val="24"/>
          <w:szCs w:val="24"/>
        </w:rPr>
        <w:t xml:space="preserve">              </w:t>
      </w:r>
    </w:p>
    <w:p w14:paraId="1EB631AD" w14:textId="6F22DBEC" w:rsidR="00AE3E37" w:rsidRPr="005629D4" w:rsidRDefault="00A9710C" w:rsidP="00FC0F90">
      <w:pPr>
        <w:spacing w:before="92"/>
        <w:ind w:left="100" w:right="4234"/>
        <w:rPr>
          <w:rFonts w:ascii="Times New Roman" w:hAnsi="Times New Roman" w:cs="Times New Roman"/>
          <w:b/>
          <w:bCs/>
          <w:sz w:val="24"/>
          <w:szCs w:val="24"/>
        </w:rPr>
      </w:pPr>
      <w:r w:rsidRPr="005629D4">
        <w:rPr>
          <w:rFonts w:ascii="Times New Roman" w:hAnsi="Times New Roman" w:cs="Times New Roman"/>
          <w:b/>
          <w:bCs/>
          <w:sz w:val="24"/>
          <w:szCs w:val="24"/>
        </w:rPr>
        <w:t>Biography</w:t>
      </w:r>
    </w:p>
    <w:p w14:paraId="0A9E9C2B" w14:textId="712DEA27" w:rsidR="00F046EA" w:rsidRPr="00FC0F90" w:rsidRDefault="005629D4" w:rsidP="005629D4">
      <w:pPr>
        <w:widowControl/>
        <w:spacing w:before="100" w:beforeAutospacing="1" w:line="276" w:lineRule="auto"/>
        <w:ind w:left="1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bidi="ar-EG"/>
        </w:rPr>
        <w:t>He is an Associate</w:t>
      </w:r>
      <w:r w:rsidR="00DD05F5" w:rsidRPr="00FC0F90">
        <w:rPr>
          <w:rFonts w:ascii="Times New Roman" w:eastAsia="Times New Roman" w:hAnsi="Times New Roman" w:cs="Times New Roman"/>
          <w:sz w:val="24"/>
          <w:szCs w:val="24"/>
          <w:lang w:bidi="ar-EG"/>
        </w:rPr>
        <w:t xml:space="preserve"> Professor of Chest Medicine from 2016 till now at the </w:t>
      </w:r>
      <w:r w:rsidRPr="005629D4">
        <w:rPr>
          <w:rFonts w:ascii="Times New Roman" w:eastAsia="Times New Roman" w:hAnsi="Times New Roman" w:cs="Times New Roman"/>
          <w:sz w:val="24"/>
          <w:szCs w:val="24"/>
          <w:lang w:bidi="ar-EG"/>
        </w:rPr>
        <w:t>Department of Pulmonology, Faculty of Medicine, Ain Shams University, Cairo Egypt</w:t>
      </w:r>
      <w:r>
        <w:rPr>
          <w:rFonts w:ascii="Times New Roman" w:eastAsia="Times New Roman" w:hAnsi="Times New Roman" w:cs="Times New Roman"/>
          <w:sz w:val="24"/>
          <w:szCs w:val="24"/>
          <w:lang w:bidi="ar-EG"/>
        </w:rPr>
        <w:t>.</w:t>
      </w:r>
    </w:p>
    <w:p w14:paraId="01D9D0BA" w14:textId="77777777" w:rsidR="00AE3E37" w:rsidRPr="00FC0F90" w:rsidRDefault="00AE3E37" w:rsidP="00FC0F90">
      <w:pPr>
        <w:pStyle w:val="BodyText"/>
        <w:spacing w:before="3"/>
        <w:ind w:left="100"/>
        <w:rPr>
          <w:rFonts w:ascii="Times New Roman" w:hAnsi="Times New Roman" w:cs="Times New Roman"/>
          <w:sz w:val="24"/>
          <w:szCs w:val="24"/>
        </w:rPr>
      </w:pPr>
    </w:p>
    <w:sectPr w:rsidR="00AE3E37" w:rsidRPr="00FC0F90" w:rsidSect="00F046EA">
      <w:footerReference w:type="default" r:id="rId7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79F03" w14:textId="77777777" w:rsidR="00DB1EDE" w:rsidRDefault="00DB1EDE">
      <w:r>
        <w:separator/>
      </w:r>
    </w:p>
  </w:endnote>
  <w:endnote w:type="continuationSeparator" w:id="0">
    <w:p w14:paraId="6476B1EB" w14:textId="77777777" w:rsidR="00DB1EDE" w:rsidRDefault="00DB1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55284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0A876B7B" wp14:editId="083302A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2EC542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B525EC6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876B7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562EC542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B525EC6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27F9D0FB" wp14:editId="35D300E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29D6AE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D1DC8DF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7F9D0FB" id="Text Box 2" o:spid="_x0000_s1027" type="#_x0000_t202" style="position:absolute;margin-left:252.1pt;margin-top:799.05pt;width:91.9pt;height:24.95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7129D6AE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D1DC8DF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968" behindDoc="1" locked="0" layoutInCell="1" allowOverlap="1" wp14:anchorId="7AD58D74" wp14:editId="6DA0938C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068BF0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C3347DD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D58D74" id="Text Box 1" o:spid="_x0000_s1028" type="#_x0000_t202" style="position:absolute;margin-left:468.9pt;margin-top:798.8pt;width:91.4pt;height:26.05pt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3E068BF0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C3347DD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123FD" w14:textId="77777777" w:rsidR="00DB1EDE" w:rsidRDefault="00DB1EDE">
      <w:r>
        <w:separator/>
      </w:r>
    </w:p>
  </w:footnote>
  <w:footnote w:type="continuationSeparator" w:id="0">
    <w:p w14:paraId="35E4D7E4" w14:textId="77777777" w:rsidR="00DB1EDE" w:rsidRDefault="00DB1E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A7E9C"/>
    <w:multiLevelType w:val="hybridMultilevel"/>
    <w:tmpl w:val="0E96012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47FF41BB"/>
    <w:multiLevelType w:val="hybridMultilevel"/>
    <w:tmpl w:val="C374C6C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4" w15:restartNumberingAfterBreak="0">
    <w:nsid w:val="6EBA2D30"/>
    <w:multiLevelType w:val="hybridMultilevel"/>
    <w:tmpl w:val="CD1C24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954C1"/>
    <w:multiLevelType w:val="hybridMultilevel"/>
    <w:tmpl w:val="54B65656"/>
    <w:lvl w:ilvl="0" w:tplc="04090005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6" w15:restartNumberingAfterBreak="0">
    <w:nsid w:val="7F996D4B"/>
    <w:multiLevelType w:val="hybridMultilevel"/>
    <w:tmpl w:val="D5221282"/>
    <w:lvl w:ilvl="0" w:tplc="68AE63A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lang w:bidi="ar-EG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18450643">
    <w:abstractNumId w:val="1"/>
  </w:num>
  <w:num w:numId="2" w16cid:durableId="419955957">
    <w:abstractNumId w:val="3"/>
  </w:num>
  <w:num w:numId="3" w16cid:durableId="26195839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398208848">
    <w:abstractNumId w:val="2"/>
  </w:num>
  <w:num w:numId="5" w16cid:durableId="1323116867">
    <w:abstractNumId w:val="6"/>
  </w:num>
  <w:num w:numId="6" w16cid:durableId="292366805">
    <w:abstractNumId w:val="4"/>
  </w:num>
  <w:num w:numId="7" w16cid:durableId="2015642152">
    <w:abstractNumId w:val="5"/>
  </w:num>
  <w:num w:numId="8" w16cid:durableId="1704161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1263DF"/>
    <w:rsid w:val="00292ED9"/>
    <w:rsid w:val="00351D9B"/>
    <w:rsid w:val="00380299"/>
    <w:rsid w:val="003C33D1"/>
    <w:rsid w:val="00404E5B"/>
    <w:rsid w:val="00414F7B"/>
    <w:rsid w:val="004355DC"/>
    <w:rsid w:val="004749B4"/>
    <w:rsid w:val="00494130"/>
    <w:rsid w:val="004F3523"/>
    <w:rsid w:val="005629D4"/>
    <w:rsid w:val="005973B9"/>
    <w:rsid w:val="005B3A56"/>
    <w:rsid w:val="006060CE"/>
    <w:rsid w:val="0061505C"/>
    <w:rsid w:val="00620AD0"/>
    <w:rsid w:val="0063497F"/>
    <w:rsid w:val="00714354"/>
    <w:rsid w:val="007979E5"/>
    <w:rsid w:val="00801A0A"/>
    <w:rsid w:val="008044E8"/>
    <w:rsid w:val="00873DF0"/>
    <w:rsid w:val="008756E6"/>
    <w:rsid w:val="00897EC5"/>
    <w:rsid w:val="008E5477"/>
    <w:rsid w:val="00976247"/>
    <w:rsid w:val="009B2D44"/>
    <w:rsid w:val="00A07E82"/>
    <w:rsid w:val="00A52075"/>
    <w:rsid w:val="00A9710C"/>
    <w:rsid w:val="00AE3E37"/>
    <w:rsid w:val="00B21A57"/>
    <w:rsid w:val="00C33602"/>
    <w:rsid w:val="00C56C74"/>
    <w:rsid w:val="00CD6F55"/>
    <w:rsid w:val="00D5563D"/>
    <w:rsid w:val="00D570A2"/>
    <w:rsid w:val="00DB1EDE"/>
    <w:rsid w:val="00DD05F5"/>
    <w:rsid w:val="00DE3104"/>
    <w:rsid w:val="00DE6170"/>
    <w:rsid w:val="00E30AAC"/>
    <w:rsid w:val="00E9233A"/>
    <w:rsid w:val="00E95D97"/>
    <w:rsid w:val="00F046EA"/>
    <w:rsid w:val="00F72EEA"/>
    <w:rsid w:val="00F84CAE"/>
    <w:rsid w:val="00FA41DE"/>
    <w:rsid w:val="00FC0F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4FC232"/>
  <w15:docId w15:val="{81C37042-A85A-4384-BDED-8FE42D8FA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Marine Biology</cp:lastModifiedBy>
  <cp:revision>21</cp:revision>
  <dcterms:created xsi:type="dcterms:W3CDTF">2016-08-31T12:08:00Z</dcterms:created>
  <dcterms:modified xsi:type="dcterms:W3CDTF">2022-12-14T10:25:00Z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