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68FEE" w14:textId="56FFB234" w:rsidR="00AE3E37" w:rsidRDefault="00352229" w:rsidP="008E2258">
      <w:pPr>
        <w:pStyle w:val="Heading1"/>
        <w:spacing w:before="170"/>
        <w:ind w:left="0"/>
        <w:jc w:val="both"/>
        <w:rPr>
          <w:rFonts w:ascii="Times New Roman" w:hAnsi="Times New Roman" w:cs="Times New Roman"/>
          <w:sz w:val="28"/>
          <w:szCs w:val="28"/>
        </w:rPr>
      </w:pPr>
      <w:r w:rsidRPr="008E2258">
        <w:rPr>
          <w:rFonts w:ascii="Times New Roman" w:hAnsi="Times New Roman" w:cs="Times New Roman"/>
          <w:sz w:val="28"/>
          <w:szCs w:val="28"/>
        </w:rPr>
        <w:t>Minimally invasive transpedicular fixation for thoracic and lumbar vertebral fractures</w:t>
      </w:r>
    </w:p>
    <w:p w14:paraId="76DDDD21" w14:textId="05F1FD1D" w:rsidR="008E2258" w:rsidRPr="008E2258" w:rsidRDefault="0093725F" w:rsidP="008E2258">
      <w:pPr>
        <w:contextualSpacing/>
        <w:rPr>
          <w:rFonts w:ascii="Times New Roman" w:hAnsi="Times New Roman" w:cs="Times New Roman"/>
          <w:b/>
          <w:bCs/>
          <w:sz w:val="24"/>
          <w:szCs w:val="24"/>
        </w:rPr>
      </w:pPr>
      <w:r>
        <w:rPr>
          <w:rFonts w:ascii="Times New Roman" w:hAnsi="Times New Roman" w:cs="Times New Roman"/>
          <w:b/>
          <w:bCs/>
          <w:sz w:val="24"/>
          <w:szCs w:val="24"/>
        </w:rPr>
        <w:br/>
      </w:r>
      <w:r w:rsidR="00352229" w:rsidRPr="008E2258">
        <w:rPr>
          <w:rFonts w:ascii="Times New Roman" w:hAnsi="Times New Roman" w:cs="Times New Roman"/>
          <w:b/>
          <w:bCs/>
          <w:sz w:val="24"/>
          <w:szCs w:val="24"/>
        </w:rPr>
        <w:t>Faryon A.O., PhD</w:t>
      </w:r>
      <w:r w:rsidR="005A3892" w:rsidRPr="005A3892">
        <w:rPr>
          <w:rFonts w:ascii="Times New Roman" w:hAnsi="Times New Roman" w:cs="Times New Roman"/>
          <w:b/>
          <w:bCs/>
          <w:sz w:val="24"/>
          <w:szCs w:val="24"/>
          <w:vertAlign w:val="superscript"/>
        </w:rPr>
        <w:t>1</w:t>
      </w:r>
      <w:r w:rsidR="00352229" w:rsidRPr="008E2258">
        <w:rPr>
          <w:rFonts w:ascii="Times New Roman" w:hAnsi="Times New Roman" w:cs="Times New Roman"/>
          <w:b/>
          <w:bCs/>
          <w:sz w:val="24"/>
          <w:szCs w:val="24"/>
        </w:rPr>
        <w:t>, Pas’kov R.V., MD</w:t>
      </w:r>
      <w:r w:rsidR="005A3892" w:rsidRPr="005A3892">
        <w:rPr>
          <w:rFonts w:ascii="Times New Roman" w:hAnsi="Times New Roman" w:cs="Times New Roman"/>
          <w:b/>
          <w:bCs/>
          <w:sz w:val="24"/>
          <w:szCs w:val="24"/>
          <w:vertAlign w:val="superscript"/>
        </w:rPr>
        <w:t>2</w:t>
      </w:r>
      <w:r w:rsidR="008E2258" w:rsidRPr="008E2258">
        <w:rPr>
          <w:rFonts w:ascii="Times New Roman" w:hAnsi="Times New Roman" w:cs="Times New Roman"/>
          <w:b/>
          <w:bCs/>
          <w:sz w:val="24"/>
          <w:szCs w:val="24"/>
        </w:rPr>
        <w:t xml:space="preserve"> </w:t>
      </w:r>
      <w:r w:rsidR="008E2258" w:rsidRPr="008E2258">
        <w:rPr>
          <w:rFonts w:ascii="Times New Roman" w:hAnsi="Times New Roman" w:cs="Times New Roman"/>
          <w:sz w:val="24"/>
          <w:szCs w:val="24"/>
        </w:rPr>
        <w:t xml:space="preserve">and </w:t>
      </w:r>
      <w:r w:rsidR="008E2258" w:rsidRPr="008E2258">
        <w:rPr>
          <w:rFonts w:ascii="Times New Roman" w:hAnsi="Times New Roman" w:cs="Times New Roman"/>
          <w:b/>
          <w:bCs/>
          <w:sz w:val="24"/>
          <w:szCs w:val="24"/>
        </w:rPr>
        <w:t>Bazarov A.YU., PhD</w:t>
      </w:r>
      <w:r w:rsidR="005A3892" w:rsidRPr="005A3892">
        <w:rPr>
          <w:rFonts w:ascii="Times New Roman" w:hAnsi="Times New Roman" w:cs="Times New Roman"/>
          <w:b/>
          <w:bCs/>
          <w:sz w:val="24"/>
          <w:szCs w:val="24"/>
          <w:vertAlign w:val="superscript"/>
        </w:rPr>
        <w:t>1</w:t>
      </w:r>
    </w:p>
    <w:p w14:paraId="718BAD15" w14:textId="08DCE7BA" w:rsidR="001C146A" w:rsidRPr="008E2258" w:rsidRDefault="005A3892" w:rsidP="001C146A">
      <w:pPr>
        <w:contextualSpacing/>
        <w:rPr>
          <w:rFonts w:ascii="Times New Roman" w:hAnsi="Times New Roman" w:cs="Times New Roman"/>
          <w:sz w:val="24"/>
          <w:szCs w:val="24"/>
        </w:rPr>
      </w:pPr>
      <w:r w:rsidRPr="005A3892">
        <w:rPr>
          <w:rFonts w:ascii="Times New Roman" w:hAnsi="Times New Roman" w:cs="Times New Roman"/>
          <w:b/>
          <w:bCs/>
          <w:sz w:val="24"/>
          <w:szCs w:val="24"/>
          <w:vertAlign w:val="superscript"/>
        </w:rPr>
        <w:t>1</w:t>
      </w:r>
      <w:r w:rsidR="001C146A" w:rsidRPr="008E2258">
        <w:rPr>
          <w:rFonts w:ascii="Times New Roman" w:hAnsi="Times New Roman" w:cs="Times New Roman"/>
          <w:sz w:val="24"/>
          <w:szCs w:val="24"/>
        </w:rPr>
        <w:t>Tyumen Regional Clinical Hospital No. 2, Russia</w:t>
      </w:r>
    </w:p>
    <w:p w14:paraId="0C603431" w14:textId="1DB28697" w:rsidR="00352229" w:rsidRPr="008E2258" w:rsidRDefault="005A3892" w:rsidP="008E2258">
      <w:pPr>
        <w:contextualSpacing/>
        <w:rPr>
          <w:rFonts w:ascii="Times New Roman" w:hAnsi="Times New Roman" w:cs="Times New Roman"/>
          <w:sz w:val="24"/>
          <w:szCs w:val="24"/>
        </w:rPr>
      </w:pPr>
      <w:r w:rsidRPr="005A3892">
        <w:rPr>
          <w:rFonts w:ascii="Times New Roman" w:hAnsi="Times New Roman" w:cs="Times New Roman"/>
          <w:b/>
          <w:bCs/>
          <w:sz w:val="24"/>
          <w:szCs w:val="24"/>
          <w:vertAlign w:val="superscript"/>
        </w:rPr>
        <w:t>2</w:t>
      </w:r>
      <w:r w:rsidR="00352229" w:rsidRPr="008E2258">
        <w:rPr>
          <w:rFonts w:ascii="Times New Roman" w:hAnsi="Times New Roman" w:cs="Times New Roman"/>
          <w:sz w:val="24"/>
          <w:szCs w:val="24"/>
        </w:rPr>
        <w:t>Tyumen State Medical University, Russia</w:t>
      </w:r>
    </w:p>
    <w:p w14:paraId="74A38BD3" w14:textId="77777777" w:rsidR="00AE3E37" w:rsidRPr="008E2258" w:rsidRDefault="00AE3E37" w:rsidP="008E2258">
      <w:pPr>
        <w:pStyle w:val="BodyText"/>
        <w:rPr>
          <w:rFonts w:ascii="Times New Roman" w:hAnsi="Times New Roman" w:cs="Times New Roman"/>
          <w:sz w:val="24"/>
          <w:szCs w:val="24"/>
        </w:rPr>
      </w:pPr>
    </w:p>
    <w:p w14:paraId="41381577" w14:textId="77777777" w:rsidR="00AE3E37" w:rsidRPr="008E2258" w:rsidRDefault="00AE3E37" w:rsidP="008E2258">
      <w:pPr>
        <w:rPr>
          <w:rFonts w:ascii="Times New Roman" w:hAnsi="Times New Roman" w:cs="Times New Roman"/>
          <w:sz w:val="24"/>
          <w:szCs w:val="24"/>
        </w:rPr>
        <w:sectPr w:rsidR="00AE3E37" w:rsidRPr="008E2258" w:rsidSect="008E5477">
          <w:footerReference w:type="default" r:id="rId7"/>
          <w:type w:val="continuous"/>
          <w:pgSz w:w="11910" w:h="16840"/>
          <w:pgMar w:top="995" w:right="600" w:bottom="840" w:left="620" w:header="0" w:footer="0" w:gutter="0"/>
          <w:cols w:space="720"/>
          <w:docGrid w:linePitch="299"/>
        </w:sectPr>
      </w:pPr>
    </w:p>
    <w:p w14:paraId="1F9C3ACB" w14:textId="711B9BAB" w:rsidR="00AE3E37" w:rsidRDefault="00A9710C" w:rsidP="008E2258">
      <w:pPr>
        <w:pStyle w:val="Heading3"/>
        <w:spacing w:before="147"/>
        <w:ind w:left="0"/>
        <w:jc w:val="center"/>
        <w:rPr>
          <w:rFonts w:ascii="Times New Roman" w:hAnsi="Times New Roman" w:cs="Times New Roman"/>
          <w:sz w:val="24"/>
          <w:szCs w:val="24"/>
        </w:rPr>
      </w:pPr>
      <w:r w:rsidRPr="008E2258">
        <w:rPr>
          <w:rFonts w:ascii="Times New Roman" w:hAnsi="Times New Roman" w:cs="Times New Roman"/>
          <w:sz w:val="24"/>
          <w:szCs w:val="24"/>
        </w:rPr>
        <w:t>Abstract</w:t>
      </w:r>
    </w:p>
    <w:p w14:paraId="4B2FD745" w14:textId="77777777" w:rsidR="008E2258" w:rsidRPr="008E2258" w:rsidRDefault="008E2258" w:rsidP="008E2258">
      <w:pPr>
        <w:pStyle w:val="Heading3"/>
        <w:spacing w:before="147"/>
        <w:ind w:left="0"/>
        <w:jc w:val="center"/>
        <w:rPr>
          <w:rFonts w:ascii="Times New Roman" w:hAnsi="Times New Roman" w:cs="Times New Roman"/>
          <w:sz w:val="24"/>
          <w:szCs w:val="24"/>
        </w:rPr>
      </w:pPr>
    </w:p>
    <w:p w14:paraId="4FFD3C0F" w14:textId="29CFB4E2" w:rsidR="00AE3E37" w:rsidRPr="008E2258" w:rsidRDefault="00352229" w:rsidP="008E2258">
      <w:pPr>
        <w:jc w:val="both"/>
        <w:rPr>
          <w:rFonts w:ascii="Times New Roman" w:hAnsi="Times New Roman" w:cs="Times New Roman"/>
          <w:sz w:val="24"/>
          <w:szCs w:val="24"/>
        </w:rPr>
      </w:pPr>
      <w:r w:rsidRPr="008E2258">
        <w:rPr>
          <w:rFonts w:ascii="Times New Roman" w:hAnsi="Times New Roman" w:cs="Times New Roman"/>
          <w:sz w:val="24"/>
          <w:szCs w:val="24"/>
        </w:rPr>
        <w:t>This study included 287 patients with fractures of thoracic and lumbar vertebrae, who have been treated at State Budgetary Healthcare Institution Tyumen Regional Clinical Hospital No. 2 in the City of Tyumen from March 2006 to December 2018. Percutaneous transpedicular fixation was used in 135 (47.0 %) patients (the main group), and the conventional open technique in 153 (53.0 %) (the control group). The average age of the patients was 41.44 years (from 18 to 80 years). The majority of patients were male (84), as followed with female (51). The most common cause of injury was falling from height (catatrauma) in 61 (45.2 %) cases, followed by falling from standing height in 47 (35 %) cases, and car accident in 25 (19 %) cases. The most common location of fractures was Th</w:t>
      </w:r>
      <w:r w:rsidRPr="008E2258">
        <w:rPr>
          <w:rFonts w:ascii="Times New Roman" w:hAnsi="Times New Roman" w:cs="Times New Roman"/>
          <w:sz w:val="24"/>
          <w:szCs w:val="24"/>
          <w:vertAlign w:val="subscript"/>
        </w:rPr>
        <w:t>12</w:t>
      </w:r>
      <w:r w:rsidRPr="008E2258">
        <w:rPr>
          <w:rFonts w:ascii="Times New Roman" w:hAnsi="Times New Roman" w:cs="Times New Roman"/>
          <w:sz w:val="24"/>
          <w:szCs w:val="24"/>
        </w:rPr>
        <w:t xml:space="preserve"> in 31 (23 %) cases, followed by L</w:t>
      </w:r>
      <w:r w:rsidRPr="008E2258">
        <w:rPr>
          <w:rFonts w:ascii="Times New Roman" w:hAnsi="Times New Roman" w:cs="Times New Roman"/>
          <w:sz w:val="24"/>
          <w:szCs w:val="24"/>
          <w:vertAlign w:val="subscript"/>
        </w:rPr>
        <w:t>1</w:t>
      </w:r>
      <w:r w:rsidRPr="008E2258">
        <w:rPr>
          <w:rFonts w:ascii="Times New Roman" w:hAnsi="Times New Roman" w:cs="Times New Roman"/>
          <w:sz w:val="24"/>
          <w:szCs w:val="24"/>
        </w:rPr>
        <w:t xml:space="preserve"> in 45 (33 %), and L</w:t>
      </w:r>
      <w:r w:rsidRPr="008E2258">
        <w:rPr>
          <w:rFonts w:ascii="Times New Roman" w:hAnsi="Times New Roman" w:cs="Times New Roman"/>
          <w:sz w:val="24"/>
          <w:szCs w:val="24"/>
          <w:vertAlign w:val="subscript"/>
        </w:rPr>
        <w:t>2</w:t>
      </w:r>
      <w:r w:rsidRPr="008E2258">
        <w:rPr>
          <w:rFonts w:ascii="Times New Roman" w:hAnsi="Times New Roman" w:cs="Times New Roman"/>
          <w:sz w:val="24"/>
          <w:szCs w:val="24"/>
        </w:rPr>
        <w:t xml:space="preserve"> in 28 (21 %) cases. The AOSpine classification was used to assess the nature of the spinal injury, the most frequently diagnosed injuries were type A</w:t>
      </w:r>
      <w:r w:rsidRPr="008E2258">
        <w:rPr>
          <w:rFonts w:ascii="Times New Roman" w:hAnsi="Times New Roman" w:cs="Times New Roman"/>
          <w:sz w:val="24"/>
          <w:szCs w:val="24"/>
          <w:vertAlign w:val="subscript"/>
        </w:rPr>
        <w:t>2</w:t>
      </w:r>
      <w:r w:rsidRPr="008E2258">
        <w:rPr>
          <w:rFonts w:ascii="Times New Roman" w:hAnsi="Times New Roman" w:cs="Times New Roman"/>
          <w:sz w:val="24"/>
          <w:szCs w:val="24"/>
        </w:rPr>
        <w:t xml:space="preserve"> in 25 (19 %) patients, A</w:t>
      </w:r>
      <w:r w:rsidRPr="008E2258">
        <w:rPr>
          <w:rFonts w:ascii="Times New Roman" w:hAnsi="Times New Roman" w:cs="Times New Roman"/>
          <w:sz w:val="24"/>
          <w:szCs w:val="24"/>
          <w:vertAlign w:val="subscript"/>
        </w:rPr>
        <w:t>3</w:t>
      </w:r>
      <w:r w:rsidRPr="008E2258">
        <w:rPr>
          <w:rFonts w:ascii="Times New Roman" w:hAnsi="Times New Roman" w:cs="Times New Roman"/>
          <w:sz w:val="24"/>
          <w:szCs w:val="24"/>
        </w:rPr>
        <w:t xml:space="preserve"> in 35 (26 %), and B</w:t>
      </w:r>
      <w:r w:rsidRPr="008E2258">
        <w:rPr>
          <w:rFonts w:ascii="Times New Roman" w:hAnsi="Times New Roman" w:cs="Times New Roman"/>
          <w:sz w:val="24"/>
          <w:szCs w:val="24"/>
          <w:vertAlign w:val="subscript"/>
        </w:rPr>
        <w:t>2</w:t>
      </w:r>
      <w:r w:rsidRPr="008E2258">
        <w:rPr>
          <w:rFonts w:ascii="Times New Roman" w:hAnsi="Times New Roman" w:cs="Times New Roman"/>
          <w:sz w:val="24"/>
          <w:szCs w:val="24"/>
        </w:rPr>
        <w:t xml:space="preserve"> in 60 (44 %). Isolated injuries were observed in 94 (70 %), multiple injuries in 16 (12 %), combined injuries in 25 (18 %) patients. All the main group patients were treated by percutaneous TPF. According to the X-ray and CT follow-up data, the main indicators of spinal column anatomy restoration were similar in both groups. Comparison of the main and control groups showed that there were significant differences in blood loss (it was 260 mL lower in the percutaneous TPF group), postoperative pain based on VAS (3 points lower in the main group than in the control group), postoperative bed days (3 days less for percutaneous TPF than for the open technique), the average postoperative scar length (2 cm shorter in the main group than in the control group). </w:t>
      </w:r>
      <w:r w:rsidRPr="008E2258">
        <w:rPr>
          <w:rFonts w:ascii="Times New Roman" w:hAnsi="Times New Roman" w:cs="Times New Roman"/>
          <w:color w:val="000000" w:themeColor="text1"/>
          <w:sz w:val="24"/>
          <w:szCs w:val="24"/>
        </w:rPr>
        <w:t>Percutaneous transpedicular fixation can shorten the operating time, blood loss and reduce the number of blood transfusions. Due to less severe pain in patients undergoing percutaneous TPF, it can result in a shorter in-hospital treatment stage.</w:t>
      </w:r>
    </w:p>
    <w:p w14:paraId="40F5E25E" w14:textId="77777777" w:rsidR="00AE3E37" w:rsidRPr="008E2258" w:rsidRDefault="00AE3E37" w:rsidP="008E2258">
      <w:pPr>
        <w:pStyle w:val="BodyText"/>
        <w:spacing w:before="2"/>
        <w:rPr>
          <w:rFonts w:ascii="Times New Roman" w:hAnsi="Times New Roman" w:cs="Times New Roman"/>
          <w:b/>
          <w:sz w:val="24"/>
          <w:szCs w:val="24"/>
        </w:rPr>
      </w:pPr>
    </w:p>
    <w:p w14:paraId="2BDB6B96" w14:textId="77777777" w:rsidR="008E2258" w:rsidRDefault="005973B9" w:rsidP="008E2258">
      <w:pPr>
        <w:spacing w:line="204" w:lineRule="exact"/>
        <w:rPr>
          <w:rFonts w:ascii="Times New Roman" w:hAnsi="Times New Roman" w:cs="Times New Roman"/>
          <w:b/>
          <w:color w:val="BF5A14"/>
          <w:sz w:val="24"/>
          <w:szCs w:val="24"/>
        </w:rPr>
      </w:pPr>
      <w:r w:rsidRPr="008E2258">
        <w:rPr>
          <w:rFonts w:ascii="Times New Roman" w:hAnsi="Times New Roman" w:cs="Times New Roman"/>
          <w:b/>
          <w:color w:val="BF5A14"/>
          <w:sz w:val="24"/>
          <w:szCs w:val="24"/>
        </w:rPr>
        <w:br/>
      </w:r>
      <w:r w:rsidRPr="008E2258">
        <w:rPr>
          <w:rFonts w:ascii="Times New Roman" w:hAnsi="Times New Roman" w:cs="Times New Roman"/>
          <w:b/>
          <w:sz w:val="24"/>
          <w:szCs w:val="24"/>
        </w:rPr>
        <w:t>Recent Publications</w:t>
      </w:r>
    </w:p>
    <w:p w14:paraId="739C845D" w14:textId="77777777" w:rsidR="008E2258" w:rsidRDefault="008E2258" w:rsidP="008E2258">
      <w:pPr>
        <w:spacing w:line="204" w:lineRule="exact"/>
        <w:rPr>
          <w:rFonts w:ascii="Times New Roman" w:hAnsi="Times New Roman" w:cs="Times New Roman"/>
          <w:b/>
          <w:color w:val="BF5A14"/>
          <w:sz w:val="24"/>
          <w:szCs w:val="24"/>
        </w:rPr>
      </w:pPr>
    </w:p>
    <w:p w14:paraId="18A9143E" w14:textId="1BBB1836" w:rsidR="005859C7" w:rsidRPr="008E2258" w:rsidRDefault="005859C7" w:rsidP="0031024A">
      <w:pPr>
        <w:pStyle w:val="ListParagraph"/>
        <w:numPr>
          <w:ilvl w:val="0"/>
          <w:numId w:val="4"/>
        </w:numPr>
        <w:spacing w:line="240" w:lineRule="auto"/>
        <w:ind w:left="714" w:hanging="357"/>
        <w:rPr>
          <w:rFonts w:ascii="Times New Roman" w:hAnsi="Times New Roman" w:cs="Times New Roman"/>
          <w:sz w:val="24"/>
          <w:szCs w:val="24"/>
        </w:rPr>
      </w:pPr>
      <w:r w:rsidRPr="008E2258">
        <w:rPr>
          <w:rFonts w:ascii="Times New Roman" w:hAnsi="Times New Roman" w:cs="Times New Roman"/>
          <w:color w:val="212121"/>
          <w:sz w:val="24"/>
          <w:szCs w:val="24"/>
          <w:shd w:val="clear" w:color="auto" w:fill="FFFFFF"/>
        </w:rPr>
        <w:t xml:space="preserve">Carazzo CA, Yurac R, Guiroy A, Zamorano JJ, Cabrera JP, Joaquim AF; AO Spine Latin America Trauma Study Group. Minimally Invasive Versus Open Surgery for the Treatment of Types B and C Thoracolumbar Injuries: A PRISMA Systematic Review. </w:t>
      </w:r>
      <w:r w:rsidRPr="0031024A">
        <w:rPr>
          <w:rFonts w:ascii="Times New Roman" w:hAnsi="Times New Roman" w:cs="Times New Roman"/>
          <w:i/>
          <w:iCs/>
          <w:color w:val="212121"/>
          <w:sz w:val="24"/>
          <w:szCs w:val="24"/>
          <w:shd w:val="clear" w:color="auto" w:fill="FFFFFF"/>
        </w:rPr>
        <w:t>Int J Spine Surg.</w:t>
      </w:r>
      <w:r w:rsidRPr="008E2258">
        <w:rPr>
          <w:rFonts w:ascii="Times New Roman" w:hAnsi="Times New Roman" w:cs="Times New Roman"/>
          <w:color w:val="212121"/>
          <w:sz w:val="24"/>
          <w:szCs w:val="24"/>
          <w:shd w:val="clear" w:color="auto" w:fill="FFFFFF"/>
        </w:rPr>
        <w:t xml:space="preserve"> 2021 Aug;15(4):803-810. doi: 10.14444/8103. Epub 2021 Jul 15. PMID: 34266931; PMCID: PMC8375698. </w:t>
      </w:r>
    </w:p>
    <w:p w14:paraId="297A4E24" w14:textId="77777777" w:rsidR="005859C7" w:rsidRPr="008E2258" w:rsidRDefault="005859C7" w:rsidP="0031024A">
      <w:pPr>
        <w:pStyle w:val="ListParagraph"/>
        <w:numPr>
          <w:ilvl w:val="0"/>
          <w:numId w:val="4"/>
        </w:numPr>
        <w:tabs>
          <w:tab w:val="left" w:pos="384"/>
        </w:tabs>
        <w:spacing w:before="85" w:line="240" w:lineRule="auto"/>
        <w:ind w:left="714" w:hanging="357"/>
        <w:rPr>
          <w:rFonts w:ascii="Times New Roman" w:hAnsi="Times New Roman" w:cs="Times New Roman"/>
          <w:sz w:val="24"/>
          <w:szCs w:val="24"/>
        </w:rPr>
      </w:pPr>
      <w:r w:rsidRPr="008E2258">
        <w:rPr>
          <w:rFonts w:ascii="Times New Roman" w:hAnsi="Times New Roman" w:cs="Times New Roman"/>
          <w:color w:val="212121"/>
          <w:sz w:val="24"/>
          <w:szCs w:val="24"/>
          <w:shd w:val="clear" w:color="auto" w:fill="FFFFFF"/>
        </w:rPr>
        <w:t xml:space="preserve">Grossbach AJ, Dahdaleh NS, Abel TJ, Woods GD, Dlouhy BJ, Hitchon PW. Flexion-distraction injuries of the thoracolumbar spine: open fusion versus percutaneous pedicle screw fixation. </w:t>
      </w:r>
      <w:r w:rsidRPr="0031024A">
        <w:rPr>
          <w:rFonts w:ascii="Times New Roman" w:hAnsi="Times New Roman" w:cs="Times New Roman"/>
          <w:i/>
          <w:iCs/>
          <w:color w:val="212121"/>
          <w:sz w:val="24"/>
          <w:szCs w:val="24"/>
          <w:shd w:val="clear" w:color="auto" w:fill="FFFFFF"/>
        </w:rPr>
        <w:t>Neurosurg Focus.</w:t>
      </w:r>
      <w:r w:rsidRPr="008E2258">
        <w:rPr>
          <w:rFonts w:ascii="Times New Roman" w:hAnsi="Times New Roman" w:cs="Times New Roman"/>
          <w:color w:val="212121"/>
          <w:sz w:val="24"/>
          <w:szCs w:val="24"/>
          <w:shd w:val="clear" w:color="auto" w:fill="FFFFFF"/>
        </w:rPr>
        <w:t xml:space="preserve"> 2013 Aug;35(2):E2. doi: 10.3171/2013.6.FOCUS13176. PMID: 23905953.</w:t>
      </w:r>
    </w:p>
    <w:p w14:paraId="541476B8" w14:textId="77777777" w:rsidR="005859C7" w:rsidRPr="008E2258" w:rsidRDefault="005859C7" w:rsidP="0031024A">
      <w:pPr>
        <w:pStyle w:val="ListParagraph"/>
        <w:numPr>
          <w:ilvl w:val="0"/>
          <w:numId w:val="4"/>
        </w:numPr>
        <w:tabs>
          <w:tab w:val="left" w:pos="384"/>
        </w:tabs>
        <w:spacing w:before="85" w:line="240" w:lineRule="auto"/>
        <w:ind w:left="714" w:hanging="357"/>
        <w:rPr>
          <w:rFonts w:ascii="Times New Roman" w:hAnsi="Times New Roman" w:cs="Times New Roman"/>
          <w:sz w:val="24"/>
          <w:szCs w:val="24"/>
        </w:rPr>
      </w:pPr>
      <w:r w:rsidRPr="008E2258">
        <w:rPr>
          <w:rFonts w:ascii="Times New Roman" w:hAnsi="Times New Roman" w:cs="Times New Roman"/>
          <w:color w:val="212121"/>
          <w:sz w:val="24"/>
          <w:szCs w:val="24"/>
          <w:shd w:val="clear" w:color="auto" w:fill="FFFFFF"/>
        </w:rPr>
        <w:t xml:space="preserve">Li Q, Yun C, Li S. Transpedicular bone grafting and pedicle screw fixation in injured vertebrae using a paraspinal approach for thoracolumbar fractures: a retrospective study. </w:t>
      </w:r>
      <w:r w:rsidRPr="0031024A">
        <w:rPr>
          <w:rFonts w:ascii="Times New Roman" w:hAnsi="Times New Roman" w:cs="Times New Roman"/>
          <w:i/>
          <w:iCs/>
          <w:color w:val="212121"/>
          <w:sz w:val="24"/>
          <w:szCs w:val="24"/>
          <w:shd w:val="clear" w:color="auto" w:fill="FFFFFF"/>
        </w:rPr>
        <w:t>J Orthop Surg Res.</w:t>
      </w:r>
      <w:r w:rsidRPr="008E2258">
        <w:rPr>
          <w:rFonts w:ascii="Times New Roman" w:hAnsi="Times New Roman" w:cs="Times New Roman"/>
          <w:color w:val="212121"/>
          <w:sz w:val="24"/>
          <w:szCs w:val="24"/>
          <w:shd w:val="clear" w:color="auto" w:fill="FFFFFF"/>
        </w:rPr>
        <w:t xml:space="preserve"> 2016 Oct 17;11(1):115. doi: 10.1186/s13018-016-0452-4. PMID: 27751172; PMCID: PMC5066290. </w:t>
      </w:r>
    </w:p>
    <w:p w14:paraId="301B612A" w14:textId="77777777" w:rsidR="005859C7" w:rsidRPr="008E2258" w:rsidRDefault="005859C7" w:rsidP="0031024A">
      <w:pPr>
        <w:pStyle w:val="ListParagraph"/>
        <w:numPr>
          <w:ilvl w:val="0"/>
          <w:numId w:val="4"/>
        </w:numPr>
        <w:tabs>
          <w:tab w:val="left" w:pos="384"/>
        </w:tabs>
        <w:spacing w:line="240" w:lineRule="auto"/>
        <w:ind w:left="714" w:hanging="357"/>
        <w:rPr>
          <w:rFonts w:ascii="Times New Roman" w:hAnsi="Times New Roman" w:cs="Times New Roman"/>
          <w:sz w:val="24"/>
          <w:szCs w:val="24"/>
        </w:rPr>
      </w:pPr>
      <w:r w:rsidRPr="008E2258">
        <w:rPr>
          <w:rFonts w:ascii="Times New Roman" w:hAnsi="Times New Roman" w:cs="Times New Roman"/>
          <w:color w:val="212121"/>
          <w:sz w:val="24"/>
          <w:szCs w:val="24"/>
          <w:shd w:val="clear" w:color="auto" w:fill="FFFFFF"/>
        </w:rPr>
        <w:t>Wang B, Fan Y, Dong J, Wang H, Wang F, Liu Z, Liu H, Feng Y, Chen F, Huang Z, Chen R, Lei W, Wu Z. A retrospective study comparing percutaneous and open pedicle screw fixation for thoracolumbar fractures with spinal injuries. Medicine (Baltimore). 2017 Sep;96(38):e8104. doi: 10.1097/MD.0000000000008104. PMID: 28930858; PMCID: PMC5617725.</w:t>
      </w:r>
    </w:p>
    <w:p w14:paraId="256B4673" w14:textId="77777777" w:rsidR="005859C7" w:rsidRPr="008E2258" w:rsidRDefault="005859C7" w:rsidP="0031024A">
      <w:pPr>
        <w:pStyle w:val="ListParagraph"/>
        <w:numPr>
          <w:ilvl w:val="0"/>
          <w:numId w:val="4"/>
        </w:numPr>
        <w:tabs>
          <w:tab w:val="left" w:pos="384"/>
        </w:tabs>
        <w:spacing w:line="240" w:lineRule="auto"/>
        <w:ind w:left="714" w:hanging="357"/>
        <w:rPr>
          <w:rFonts w:ascii="Times New Roman" w:hAnsi="Times New Roman" w:cs="Times New Roman"/>
          <w:sz w:val="24"/>
          <w:szCs w:val="24"/>
        </w:rPr>
      </w:pPr>
      <w:r w:rsidRPr="008E2258">
        <w:rPr>
          <w:rFonts w:ascii="Times New Roman" w:hAnsi="Times New Roman" w:cs="Times New Roman"/>
          <w:color w:val="212121"/>
          <w:sz w:val="24"/>
          <w:szCs w:val="24"/>
          <w:shd w:val="clear" w:color="auto" w:fill="FFFFFF"/>
        </w:rPr>
        <w:t xml:space="preserve">Zhang C, Liu Y. Combined pedicle screw fixation at the fracture vertebrae versus conventional method for thoracolumbar fractures: A meta-analysis. </w:t>
      </w:r>
      <w:r w:rsidRPr="0031024A">
        <w:rPr>
          <w:rFonts w:ascii="Times New Roman" w:hAnsi="Times New Roman" w:cs="Times New Roman"/>
          <w:i/>
          <w:iCs/>
          <w:color w:val="212121"/>
          <w:sz w:val="24"/>
          <w:szCs w:val="24"/>
          <w:shd w:val="clear" w:color="auto" w:fill="FFFFFF"/>
        </w:rPr>
        <w:t>Int J Surg.</w:t>
      </w:r>
      <w:r w:rsidRPr="008E2258">
        <w:rPr>
          <w:rFonts w:ascii="Times New Roman" w:hAnsi="Times New Roman" w:cs="Times New Roman"/>
          <w:color w:val="212121"/>
          <w:sz w:val="24"/>
          <w:szCs w:val="24"/>
          <w:shd w:val="clear" w:color="auto" w:fill="FFFFFF"/>
        </w:rPr>
        <w:t xml:space="preserve"> 2018 May;53:38-47. doi: 10.1016/j.ijsu.2018.03.002. Epub 2018 Mar 11. PMID: 29535015.</w:t>
      </w:r>
    </w:p>
    <w:p w14:paraId="1F7A7A7A" w14:textId="2CD3212A" w:rsidR="00AE3E37" w:rsidRPr="008E2258" w:rsidRDefault="008756E6" w:rsidP="008E2258">
      <w:pPr>
        <w:spacing w:line="200" w:lineRule="exact"/>
        <w:jc w:val="both"/>
        <w:rPr>
          <w:rFonts w:ascii="Times New Roman" w:hAnsi="Times New Roman" w:cs="Times New Roman"/>
          <w:sz w:val="24"/>
          <w:szCs w:val="24"/>
        </w:rPr>
        <w:sectPr w:rsidR="00AE3E37" w:rsidRPr="008E2258" w:rsidSect="008E2258">
          <w:type w:val="continuous"/>
          <w:pgSz w:w="11910" w:h="16840"/>
          <w:pgMar w:top="995" w:right="600" w:bottom="840" w:left="620" w:header="720" w:footer="720" w:gutter="0"/>
          <w:cols w:space="138"/>
        </w:sectPr>
      </w:pPr>
      <w:r w:rsidRPr="008E2258">
        <w:rPr>
          <w:rFonts w:ascii="Times New Roman" w:hAnsi="Times New Roman" w:cs="Times New Roman"/>
          <w:sz w:val="24"/>
          <w:szCs w:val="24"/>
        </w:rPr>
        <w:t xml:space="preserve">  </w:t>
      </w:r>
    </w:p>
    <w:p w14:paraId="7B4104F2" w14:textId="6221269C" w:rsidR="00AE3E37" w:rsidRDefault="00A9710C" w:rsidP="008E2258">
      <w:pPr>
        <w:spacing w:before="92"/>
        <w:rPr>
          <w:rFonts w:ascii="Times New Roman" w:hAnsi="Times New Roman" w:cs="Times New Roman"/>
          <w:b/>
          <w:bCs/>
          <w:sz w:val="24"/>
          <w:szCs w:val="24"/>
        </w:rPr>
      </w:pPr>
      <w:r w:rsidRPr="008E2258">
        <w:rPr>
          <w:rFonts w:ascii="Times New Roman" w:hAnsi="Times New Roman" w:cs="Times New Roman"/>
          <w:b/>
          <w:bCs/>
          <w:sz w:val="24"/>
          <w:szCs w:val="24"/>
        </w:rPr>
        <w:lastRenderedPageBreak/>
        <w:t>Biography</w:t>
      </w:r>
      <w:r w:rsidR="00404E5B" w:rsidRPr="008E2258">
        <w:rPr>
          <w:rFonts w:ascii="Times New Roman" w:hAnsi="Times New Roman" w:cs="Times New Roman"/>
          <w:b/>
          <w:bCs/>
          <w:sz w:val="24"/>
          <w:szCs w:val="24"/>
        </w:rPr>
        <w:t xml:space="preserve"> </w:t>
      </w:r>
    </w:p>
    <w:p w14:paraId="37BA54E0" w14:textId="77777777" w:rsidR="008E2258" w:rsidRPr="008E2258" w:rsidRDefault="008E2258" w:rsidP="008E2258">
      <w:pPr>
        <w:spacing w:before="92"/>
        <w:rPr>
          <w:rFonts w:ascii="Times New Roman" w:hAnsi="Times New Roman" w:cs="Times New Roman"/>
          <w:b/>
          <w:bCs/>
          <w:sz w:val="24"/>
          <w:szCs w:val="24"/>
        </w:rPr>
      </w:pPr>
    </w:p>
    <w:p w14:paraId="265109CC" w14:textId="7BB8CB8D" w:rsidR="00AE3E37" w:rsidRPr="008E2258" w:rsidRDefault="00352229" w:rsidP="008E2258">
      <w:pPr>
        <w:jc w:val="both"/>
        <w:rPr>
          <w:rFonts w:ascii="Times New Roman" w:eastAsiaTheme="minorEastAsia" w:hAnsi="Times New Roman" w:cs="Times New Roman"/>
          <w:color w:val="000000" w:themeColor="text1"/>
          <w:kern w:val="24"/>
          <w:sz w:val="24"/>
          <w:szCs w:val="24"/>
        </w:rPr>
      </w:pPr>
      <w:r w:rsidRPr="008E2258">
        <w:rPr>
          <w:rFonts w:ascii="Times New Roman" w:hAnsi="Times New Roman" w:cs="Times New Roman"/>
          <w:color w:val="000000" w:themeColor="text1"/>
          <w:sz w:val="24"/>
          <w:szCs w:val="24"/>
        </w:rPr>
        <w:t>Aleksei Faryon graduated from the Tyumen State Medical Academy in 2003. From 2003 to 2005, I have been doing my clinical residency. In 2007, I defended my PhD thesis. Since 2005, I have been employed as an orthopedic traumatologist by Regional Clinical Hospital No. 2 in Tyumen. Since 2019, I have served as the Head of the Department. My main focus is the treatment of patients with musculoskeletal disorders, including those with spinal injuries. I conduct the research and teaching. I am eager for the latest scientific achievements. I am an active conference participant. At the moment, I am the Head of a trauma center.</w:t>
      </w:r>
    </w:p>
    <w:sectPr w:rsidR="00AE3E37" w:rsidRPr="008E2258"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F48DA" w14:textId="77777777" w:rsidR="00E97A09" w:rsidRDefault="00E97A09">
      <w:r>
        <w:separator/>
      </w:r>
    </w:p>
  </w:endnote>
  <w:endnote w:type="continuationSeparator" w:id="0">
    <w:p w14:paraId="35050611" w14:textId="77777777" w:rsidR="00E97A09" w:rsidRDefault="00E97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66212" w14:textId="77777777" w:rsidR="00AE3E37" w:rsidRDefault="00292ED9">
    <w:pPr>
      <w:pStyle w:val="BodyText"/>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54E3C517" wp14:editId="410CE3D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1F4E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CC1C6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3C51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E71F4E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CC1C6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268E6D54" wp14:editId="4104F3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9E6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D8A3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E6D5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B9E6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D8A3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75FA7F9F" wp14:editId="25FEE25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8D85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40A01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A7F9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C68D85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40A01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DF97F" w14:textId="77777777" w:rsidR="00E97A09" w:rsidRDefault="00E97A09">
      <w:r>
        <w:separator/>
      </w:r>
    </w:p>
  </w:footnote>
  <w:footnote w:type="continuationSeparator" w:id="0">
    <w:p w14:paraId="057C9D72" w14:textId="77777777" w:rsidR="00E97A09" w:rsidRDefault="00E97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9476F"/>
    <w:multiLevelType w:val="hybridMultilevel"/>
    <w:tmpl w:val="661CA5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88182909">
    <w:abstractNumId w:val="1"/>
  </w:num>
  <w:num w:numId="2" w16cid:durableId="929966232">
    <w:abstractNumId w:val="2"/>
  </w:num>
  <w:num w:numId="3" w16cid:durableId="1139885092">
    <w:abstractNumId w:val="1"/>
    <w:lvlOverride w:ilvl="0">
      <w:startOverride w:val="1"/>
    </w:lvlOverride>
    <w:lvlOverride w:ilvl="1"/>
    <w:lvlOverride w:ilvl="2"/>
    <w:lvlOverride w:ilvl="3"/>
    <w:lvlOverride w:ilvl="4"/>
    <w:lvlOverride w:ilvl="5"/>
    <w:lvlOverride w:ilvl="6"/>
    <w:lvlOverride w:ilvl="7"/>
    <w:lvlOverride w:ilvl="8"/>
  </w:num>
  <w:num w:numId="4" w16cid:durableId="1375229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1C146A"/>
    <w:rsid w:val="00292ED9"/>
    <w:rsid w:val="0031024A"/>
    <w:rsid w:val="00351D9B"/>
    <w:rsid w:val="00352229"/>
    <w:rsid w:val="00380299"/>
    <w:rsid w:val="00404E5B"/>
    <w:rsid w:val="00414F7B"/>
    <w:rsid w:val="004355DC"/>
    <w:rsid w:val="004749B4"/>
    <w:rsid w:val="00475D20"/>
    <w:rsid w:val="00494130"/>
    <w:rsid w:val="004F3523"/>
    <w:rsid w:val="005859C7"/>
    <w:rsid w:val="00590D60"/>
    <w:rsid w:val="005973B9"/>
    <w:rsid w:val="005A3892"/>
    <w:rsid w:val="005B3A56"/>
    <w:rsid w:val="006060CE"/>
    <w:rsid w:val="0061505C"/>
    <w:rsid w:val="0063497F"/>
    <w:rsid w:val="00714354"/>
    <w:rsid w:val="00873DF0"/>
    <w:rsid w:val="008756E6"/>
    <w:rsid w:val="00897EC5"/>
    <w:rsid w:val="008A0763"/>
    <w:rsid w:val="008E2258"/>
    <w:rsid w:val="008E5477"/>
    <w:rsid w:val="0093725F"/>
    <w:rsid w:val="009B2D44"/>
    <w:rsid w:val="009D1631"/>
    <w:rsid w:val="00A07E82"/>
    <w:rsid w:val="00A52075"/>
    <w:rsid w:val="00A9710C"/>
    <w:rsid w:val="00AE3E37"/>
    <w:rsid w:val="00B21A57"/>
    <w:rsid w:val="00BE6743"/>
    <w:rsid w:val="00C33602"/>
    <w:rsid w:val="00C56C74"/>
    <w:rsid w:val="00CD6F55"/>
    <w:rsid w:val="00D47594"/>
    <w:rsid w:val="00DE3104"/>
    <w:rsid w:val="00DE6170"/>
    <w:rsid w:val="00E30AAC"/>
    <w:rsid w:val="00E95D97"/>
    <w:rsid w:val="00E97A09"/>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8C2F9"/>
  <w15:docId w15:val="{2C28FE81-1DF3-41EE-9F52-8254C263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663</Words>
  <Characters>3785</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Marine Biology</cp:lastModifiedBy>
  <cp:revision>3</cp:revision>
  <dcterms:created xsi:type="dcterms:W3CDTF">2022-12-14T10:16:00Z</dcterms:created>
  <dcterms:modified xsi:type="dcterms:W3CDTF">2022-12-14T10:17:00Z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