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E99" w:rsidRDefault="005B5673" w:rsidP="005B56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B5673">
        <w:rPr>
          <w:rFonts w:ascii="Times New Roman" w:hAnsi="Times New Roman" w:cs="Times New Roman"/>
          <w:b/>
          <w:sz w:val="24"/>
          <w:szCs w:val="24"/>
        </w:rPr>
        <w:t>Maternal birth preparedness and complication readiness remains low in low- and middle-income</w:t>
      </w:r>
      <w:r>
        <w:rPr>
          <w:rFonts w:ascii="Times New Roman" w:hAnsi="Times New Roman" w:cs="Times New Roman"/>
          <w:b/>
          <w:sz w:val="24"/>
          <w:szCs w:val="24"/>
        </w:rPr>
        <w:t xml:space="preserve"> countries:</w:t>
      </w:r>
      <w:r w:rsidRPr="005B5673">
        <w:rPr>
          <w:rFonts w:ascii="Times New Roman" w:hAnsi="Times New Roman" w:cs="Times New Roman"/>
          <w:b/>
          <w:sz w:val="24"/>
          <w:szCs w:val="24"/>
        </w:rPr>
        <w:t xml:space="preserve"> a systematic review and meta-analysis of observational studies</w:t>
      </w:r>
    </w:p>
    <w:p w:rsidR="00A50624" w:rsidRDefault="00A50624" w:rsidP="005B56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50624" w:rsidRDefault="00A50624" w:rsidP="005B56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50624" w:rsidRPr="00103BC1" w:rsidRDefault="00A50624" w:rsidP="005B5673">
      <w:pPr>
        <w:pStyle w:val="NoSpacing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3BC1">
        <w:rPr>
          <w:rFonts w:ascii="Times New Roman" w:hAnsi="Times New Roman" w:cs="Times New Roman"/>
          <w:sz w:val="24"/>
          <w:szCs w:val="24"/>
        </w:rPr>
        <w:t xml:space="preserve">Minyahil </w:t>
      </w:r>
      <w:proofErr w:type="spellStart"/>
      <w:r w:rsidRPr="00103BC1">
        <w:rPr>
          <w:rFonts w:ascii="Times New Roman" w:hAnsi="Times New Roman" w:cs="Times New Roman"/>
          <w:sz w:val="24"/>
          <w:szCs w:val="24"/>
        </w:rPr>
        <w:t>Tadesse</w:t>
      </w:r>
      <w:proofErr w:type="spellEnd"/>
      <w:r w:rsidRPr="00103BC1">
        <w:rPr>
          <w:rFonts w:ascii="Times New Roman" w:hAnsi="Times New Roman" w:cs="Times New Roman"/>
          <w:sz w:val="24"/>
          <w:szCs w:val="24"/>
        </w:rPr>
        <w:t xml:space="preserve"> Boltena</w:t>
      </w:r>
      <w:r w:rsidRPr="00103BC1">
        <w:rPr>
          <w:rFonts w:ascii="Times New Roman" w:hAnsi="Times New Roman" w:cs="Times New Roman"/>
          <w:sz w:val="24"/>
          <w:szCs w:val="24"/>
          <w:vertAlign w:val="superscript"/>
        </w:rPr>
        <w:t>1, 2*</w:t>
      </w:r>
    </w:p>
    <w:p w:rsidR="00A50624" w:rsidRDefault="00A50624" w:rsidP="005B56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50624" w:rsidRDefault="00A50624" w:rsidP="005B56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03BC1" w:rsidRPr="00103BC1" w:rsidRDefault="00103BC1" w:rsidP="00103BC1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103BC1">
        <w:rPr>
          <w:rFonts w:ascii="Times New Roman" w:hAnsi="Times New Roman" w:cs="Times New Roman"/>
        </w:rPr>
        <w:t>Armauer</w:t>
      </w:r>
      <w:proofErr w:type="spellEnd"/>
      <w:r w:rsidRPr="00103BC1">
        <w:rPr>
          <w:rFonts w:ascii="Times New Roman" w:hAnsi="Times New Roman" w:cs="Times New Roman"/>
        </w:rPr>
        <w:t xml:space="preserve"> Hansen Research Institute, Ministry of Health, Ethiopia.</w:t>
      </w:r>
    </w:p>
    <w:p w:rsidR="00103BC1" w:rsidRPr="00103BC1" w:rsidRDefault="00103BC1" w:rsidP="00103BC1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103BC1">
        <w:rPr>
          <w:rFonts w:ascii="Times New Roman" w:hAnsi="Times New Roman" w:cs="Times New Roman"/>
        </w:rPr>
        <w:t>Ethiopian-Evidence Based Health Care Centre: A JBI Center of Excellence, Public Health Faculty, Institute of</w:t>
      </w:r>
      <w:r w:rsidRPr="00103BC1">
        <w:rPr>
          <w:rFonts w:ascii="Times New Roman" w:hAnsi="Times New Roman" w:cs="Times New Roman"/>
        </w:rPr>
        <w:t xml:space="preserve"> </w:t>
      </w:r>
      <w:r w:rsidRPr="00103BC1">
        <w:rPr>
          <w:rFonts w:ascii="Times New Roman" w:hAnsi="Times New Roman" w:cs="Times New Roman"/>
        </w:rPr>
        <w:t xml:space="preserve">Health, </w:t>
      </w:r>
      <w:proofErr w:type="spellStart"/>
      <w:r w:rsidRPr="00103BC1">
        <w:rPr>
          <w:rFonts w:ascii="Times New Roman" w:hAnsi="Times New Roman" w:cs="Times New Roman"/>
        </w:rPr>
        <w:t>Jimma</w:t>
      </w:r>
      <w:proofErr w:type="spellEnd"/>
      <w:r w:rsidRPr="00103BC1">
        <w:rPr>
          <w:rFonts w:ascii="Times New Roman" w:hAnsi="Times New Roman" w:cs="Times New Roman"/>
        </w:rPr>
        <w:t xml:space="preserve"> University, Ethiopia.</w:t>
      </w:r>
    </w:p>
    <w:p w:rsidR="00103BC1" w:rsidRDefault="00103BC1" w:rsidP="00103B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03BC1" w:rsidRPr="00103BC1" w:rsidRDefault="00103BC1" w:rsidP="00103B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03BC1" w:rsidRPr="00103BC1" w:rsidRDefault="00103BC1" w:rsidP="00103B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3BC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03BC1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03BC1">
        <w:rPr>
          <w:rFonts w:ascii="Times New Roman" w:hAnsi="Times New Roman" w:cs="Times New Roman"/>
          <w:b/>
          <w:sz w:val="24"/>
          <w:szCs w:val="24"/>
        </w:rPr>
        <w:t>Background:</w:t>
      </w:r>
      <w:r w:rsidRPr="00103BC1">
        <w:rPr>
          <w:rFonts w:ascii="Times New Roman" w:hAnsi="Times New Roman" w:cs="Times New Roman"/>
          <w:sz w:val="24"/>
          <w:szCs w:val="24"/>
        </w:rPr>
        <w:t xml:space="preserve"> The global maternal mortality rate due to preventable pregnancy related complications is</w:t>
      </w:r>
      <w:r w:rsidR="00CA6639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810 per 100, 000 live births. Poor maternal involvement in birth preparedness and complications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readiness (BPCR) practice contributes to poor maternal and child health outcomes in low- and middle-income countries (LMICs). This systematic review and meta-analysis determined the pooled prevalence</w:t>
      </w:r>
    </w:p>
    <w:p w:rsidR="00103BC1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3BC1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103BC1">
        <w:rPr>
          <w:rFonts w:ascii="Times New Roman" w:hAnsi="Times New Roman" w:cs="Times New Roman"/>
          <w:sz w:val="24"/>
          <w:szCs w:val="24"/>
        </w:rPr>
        <w:t xml:space="preserve"> maternal BPCR in LMICs.</w:t>
      </w:r>
    </w:p>
    <w:p w:rsidR="00103BC1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03BC1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03BC1">
        <w:rPr>
          <w:rFonts w:ascii="Times New Roman" w:hAnsi="Times New Roman" w:cs="Times New Roman"/>
          <w:b/>
          <w:sz w:val="24"/>
          <w:szCs w:val="24"/>
        </w:rPr>
        <w:t>Methods:</w:t>
      </w:r>
      <w:r w:rsidRPr="00103BC1">
        <w:rPr>
          <w:rFonts w:ascii="Times New Roman" w:hAnsi="Times New Roman" w:cs="Times New Roman"/>
          <w:sz w:val="24"/>
          <w:szCs w:val="24"/>
        </w:rPr>
        <w:t xml:space="preserve"> Literature published in English language from 2004 through 2022 was retrieved from</w:t>
      </w:r>
      <w:r w:rsidRPr="00103BC1">
        <w:rPr>
          <w:rFonts w:ascii="Times New Roman" w:hAnsi="Times New Roman" w:cs="Times New Roman"/>
          <w:sz w:val="24"/>
          <w:szCs w:val="24"/>
        </w:rPr>
        <w:t xml:space="preserve"> CINAHL, </w:t>
      </w:r>
      <w:r w:rsidRPr="00103BC1">
        <w:rPr>
          <w:rFonts w:ascii="Times New Roman" w:hAnsi="Times New Roman" w:cs="Times New Roman"/>
          <w:sz w:val="24"/>
          <w:szCs w:val="24"/>
        </w:rPr>
        <w:t xml:space="preserve">EMBASE, Google Scholar, </w:t>
      </w:r>
      <w:proofErr w:type="gramStart"/>
      <w:r w:rsidRPr="00103BC1">
        <w:rPr>
          <w:rFonts w:ascii="Times New Roman" w:hAnsi="Times New Roman" w:cs="Times New Roman"/>
          <w:sz w:val="24"/>
          <w:szCs w:val="24"/>
        </w:rPr>
        <w:t>Scopus</w:t>
      </w:r>
      <w:proofErr w:type="gramEnd"/>
      <w:r w:rsidRPr="00103BC1">
        <w:rPr>
          <w:rFonts w:ascii="Times New Roman" w:hAnsi="Times New Roman" w:cs="Times New Roman"/>
          <w:sz w:val="24"/>
          <w:szCs w:val="24"/>
        </w:rPr>
        <w:t>, PubMed, and Web of Science databases. Egger’s test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and I 2 statistics were used to assess the publication bias and heterogeneity. The publication bias and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 xml:space="preserve">heterogeneity was validated using the Duval and </w:t>
      </w:r>
      <w:proofErr w:type="spellStart"/>
      <w:r w:rsidRPr="00103BC1">
        <w:rPr>
          <w:rFonts w:ascii="Times New Roman" w:hAnsi="Times New Roman" w:cs="Times New Roman"/>
          <w:sz w:val="24"/>
          <w:szCs w:val="24"/>
        </w:rPr>
        <w:t>Tweedie</w:t>
      </w:r>
      <w:r w:rsidR="00CA6639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CA663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03BC1">
        <w:rPr>
          <w:rFonts w:ascii="Times New Roman" w:hAnsi="Times New Roman" w:cs="Times New Roman"/>
          <w:sz w:val="24"/>
          <w:szCs w:val="24"/>
        </w:rPr>
        <w:t>nonparametric trim and fill analysis using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the random-effect analysis. The summary prevalence and the corresponding 95% confidence interval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(CI) of BPCR was estimated using random effect model. The review protocol has been registered in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PROSPERO with registration code CRD42020213129. The steps to recruit eligible studies and reports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of each section of the manuscript were described in PRISMA flow chart and PRISMA 2020 checklist.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The Joanna Briggs Institute’s quality assessment tool for prevalence studies was used. STATA Version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16.0 was used to conduct the pooled meta-analysis.</w:t>
      </w:r>
    </w:p>
    <w:p w:rsidR="00103BC1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03BC1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03BC1">
        <w:rPr>
          <w:rFonts w:ascii="Times New Roman" w:hAnsi="Times New Roman" w:cs="Times New Roman"/>
          <w:b/>
          <w:sz w:val="24"/>
          <w:szCs w:val="24"/>
        </w:rPr>
        <w:t>Results:</w:t>
      </w:r>
      <w:r w:rsidRPr="00103BC1">
        <w:rPr>
          <w:rFonts w:ascii="Times New Roman" w:hAnsi="Times New Roman" w:cs="Times New Roman"/>
          <w:sz w:val="24"/>
          <w:szCs w:val="24"/>
        </w:rPr>
        <w:t xml:space="preserve"> Sixty one studies with a total of 44, 554 pregnant women and postpartum nursing mothers’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were included. The pooled prevalence of maternal BPCR was 41%. Maternal arrangement of blood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donor and knowledge of danger signs of pregnancy and postpartum complications were 15% and 42%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respectively. Only 42% of pregnant women and mothers within 42 days of delivery of the baby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arranged transport service to the health facility.</w:t>
      </w:r>
    </w:p>
    <w:p w:rsidR="00103BC1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50624" w:rsidRPr="00103BC1" w:rsidRDefault="00103BC1" w:rsidP="00103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03BC1">
        <w:rPr>
          <w:rFonts w:ascii="Times New Roman" w:hAnsi="Times New Roman" w:cs="Times New Roman"/>
          <w:b/>
          <w:sz w:val="24"/>
          <w:szCs w:val="24"/>
        </w:rPr>
        <w:t>Conclusions:</w:t>
      </w:r>
      <w:r w:rsidRPr="00103BC1">
        <w:rPr>
          <w:rFonts w:ascii="Times New Roman" w:hAnsi="Times New Roman" w:cs="Times New Roman"/>
          <w:sz w:val="24"/>
          <w:szCs w:val="24"/>
        </w:rPr>
        <w:t xml:space="preserve"> Maternal BPCR remains low in LMICs. Maternal knowledge of dangers signs of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pregnancy and postpartum complications, arrangement of transport service, and potential blood donor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was low in LMICs. Health systems in LMICs must revise their health promotion policies and design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evidence-based BPCR implementation strategy to enable active maternal involvement and improved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community engagement in BPCR. Point of care access to blood and transport service during pregnancy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and postpartum period must be improved to achieve better maternal and child health outcomes in</w:t>
      </w:r>
      <w:r w:rsidRPr="00103BC1">
        <w:rPr>
          <w:rFonts w:ascii="Times New Roman" w:hAnsi="Times New Roman" w:cs="Times New Roman"/>
          <w:sz w:val="24"/>
          <w:szCs w:val="24"/>
        </w:rPr>
        <w:t xml:space="preserve"> </w:t>
      </w:r>
      <w:r w:rsidRPr="00103BC1">
        <w:rPr>
          <w:rFonts w:ascii="Times New Roman" w:hAnsi="Times New Roman" w:cs="Times New Roman"/>
          <w:sz w:val="24"/>
          <w:szCs w:val="24"/>
        </w:rPr>
        <w:t>LMICs.</w:t>
      </w:r>
    </w:p>
    <w:sectPr w:rsidR="00A50624" w:rsidRPr="00103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04CCF"/>
    <w:multiLevelType w:val="hybridMultilevel"/>
    <w:tmpl w:val="929AB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2C"/>
    <w:rsid w:val="00103BC1"/>
    <w:rsid w:val="00543C2C"/>
    <w:rsid w:val="005B5673"/>
    <w:rsid w:val="00672944"/>
    <w:rsid w:val="00A50624"/>
    <w:rsid w:val="00C239AF"/>
    <w:rsid w:val="00CA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56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5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Boltena Minyahil</dc:creator>
  <cp:keywords/>
  <dc:description/>
  <cp:lastModifiedBy>Boltena Minyahil</cp:lastModifiedBy>
  <cp:revision>14</cp:revision>
  <dcterms:created xsi:type="dcterms:W3CDTF">2022-10-31T11:27:00Z</dcterms:created>
  <dcterms:modified xsi:type="dcterms:W3CDTF">2022-10-31T11:34:00Z</dcterms:modified>
</cp:coreProperties>
</file>