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86E" w:rsidRDefault="00FD286E" w:rsidP="00FD286E">
      <w:pPr>
        <w:spacing w:line="360" w:lineRule="auto"/>
        <w:jc w:val="both"/>
        <w:rPr>
          <w:rFonts w:ascii="Times New Roman" w:hAnsi="Times New Roman" w:cs="Times New Roman"/>
          <w:b/>
          <w:sz w:val="32"/>
          <w:szCs w:val="32"/>
        </w:rPr>
      </w:pPr>
      <w:r w:rsidRPr="00FD286E">
        <w:rPr>
          <w:rFonts w:ascii="Times New Roman" w:hAnsi="Times New Roman" w:cs="Times New Roman"/>
          <w:b/>
          <w:sz w:val="32"/>
          <w:szCs w:val="32"/>
        </w:rPr>
        <w:t xml:space="preserve">Latrine utilization and associated factors in East </w:t>
      </w:r>
      <w:proofErr w:type="spellStart"/>
      <w:r w:rsidRPr="00FD286E">
        <w:rPr>
          <w:rFonts w:ascii="Times New Roman" w:hAnsi="Times New Roman" w:cs="Times New Roman"/>
          <w:b/>
          <w:sz w:val="32"/>
          <w:szCs w:val="32"/>
        </w:rPr>
        <w:t>Gojjam</w:t>
      </w:r>
      <w:proofErr w:type="spellEnd"/>
      <w:r w:rsidRPr="00FD286E">
        <w:rPr>
          <w:rFonts w:ascii="Times New Roman" w:hAnsi="Times New Roman" w:cs="Times New Roman"/>
          <w:b/>
          <w:sz w:val="32"/>
          <w:szCs w:val="32"/>
        </w:rPr>
        <w:t xml:space="preserve"> Zone, North West Ethiopia: Community based cross-sectional study</w:t>
      </w:r>
    </w:p>
    <w:p w:rsidR="00FD286E" w:rsidRPr="00FD286E" w:rsidRDefault="00FD286E" w:rsidP="00FD286E">
      <w:pPr>
        <w:spacing w:line="360" w:lineRule="auto"/>
        <w:jc w:val="both"/>
        <w:rPr>
          <w:rFonts w:ascii="Times New Roman" w:hAnsi="Times New Roman" w:cs="Times New Roman"/>
          <w:sz w:val="32"/>
          <w:szCs w:val="32"/>
        </w:rPr>
      </w:pPr>
      <w:bookmarkStart w:id="0" w:name="_GoBack"/>
      <w:proofErr w:type="spellStart"/>
      <w:r w:rsidRPr="00FD286E">
        <w:rPr>
          <w:rFonts w:ascii="Times New Roman" w:hAnsi="Times New Roman" w:cs="Times New Roman"/>
          <w:kern w:val="24"/>
          <w:sz w:val="24"/>
          <w:szCs w:val="24"/>
        </w:rPr>
        <w:t>Misganaw</w:t>
      </w:r>
      <w:proofErr w:type="spellEnd"/>
      <w:r w:rsidRPr="00FD286E">
        <w:rPr>
          <w:rFonts w:ascii="Times New Roman" w:hAnsi="Times New Roman" w:cs="Times New Roman"/>
          <w:kern w:val="24"/>
          <w:sz w:val="24"/>
          <w:szCs w:val="24"/>
        </w:rPr>
        <w:t xml:space="preserve"> </w:t>
      </w:r>
      <w:proofErr w:type="spellStart"/>
      <w:r w:rsidRPr="00FD286E">
        <w:rPr>
          <w:rFonts w:ascii="Times New Roman" w:hAnsi="Times New Roman" w:cs="Times New Roman"/>
          <w:kern w:val="24"/>
          <w:sz w:val="24"/>
          <w:szCs w:val="24"/>
        </w:rPr>
        <w:t>Fikrie</w:t>
      </w:r>
      <w:proofErr w:type="spellEnd"/>
      <w:r w:rsidRPr="00FD286E">
        <w:rPr>
          <w:rFonts w:ascii="Times New Roman" w:hAnsi="Times New Roman" w:cs="Times New Roman"/>
          <w:kern w:val="24"/>
          <w:sz w:val="24"/>
          <w:szCs w:val="24"/>
        </w:rPr>
        <w:t xml:space="preserve"> </w:t>
      </w:r>
      <w:proofErr w:type="spellStart"/>
      <w:r w:rsidRPr="00FD286E">
        <w:rPr>
          <w:rFonts w:ascii="Times New Roman" w:hAnsi="Times New Roman" w:cs="Times New Roman"/>
          <w:kern w:val="24"/>
          <w:sz w:val="24"/>
          <w:szCs w:val="24"/>
        </w:rPr>
        <w:t>Melesse</w:t>
      </w:r>
      <w:proofErr w:type="spellEnd"/>
      <w:r w:rsidRPr="00FD286E">
        <w:rPr>
          <w:rFonts w:ascii="Times New Roman" w:hAnsi="Times New Roman" w:cs="Times New Roman"/>
          <w:kern w:val="24"/>
          <w:sz w:val="24"/>
          <w:szCs w:val="24"/>
          <w:vertAlign w:val="superscript"/>
        </w:rPr>
        <w:t>*</w:t>
      </w:r>
    </w:p>
    <w:bookmarkEnd w:id="0"/>
    <w:p w:rsidR="00886C6D" w:rsidRPr="0068786A" w:rsidRDefault="00FD286E">
      <w:pPr>
        <w:rPr>
          <w:rFonts w:ascii="Times New Roman" w:hAnsi="Times New Roman" w:cs="Times New Roman"/>
          <w:kern w:val="24"/>
        </w:rPr>
      </w:pPr>
      <w:proofErr w:type="spellStart"/>
      <w:r w:rsidRPr="0068786A">
        <w:rPr>
          <w:rFonts w:ascii="Times New Roman" w:hAnsi="Times New Roman" w:cs="Times New Roman"/>
          <w:kern w:val="24"/>
        </w:rPr>
        <w:t>Debre</w:t>
      </w:r>
      <w:proofErr w:type="spellEnd"/>
      <w:r w:rsidRPr="0068786A">
        <w:rPr>
          <w:rFonts w:ascii="Times New Roman" w:hAnsi="Times New Roman" w:cs="Times New Roman"/>
          <w:kern w:val="24"/>
        </w:rPr>
        <w:t xml:space="preserve"> </w:t>
      </w:r>
      <w:proofErr w:type="spellStart"/>
      <w:r w:rsidRPr="0068786A">
        <w:rPr>
          <w:rFonts w:ascii="Times New Roman" w:hAnsi="Times New Roman" w:cs="Times New Roman"/>
          <w:kern w:val="24"/>
        </w:rPr>
        <w:t>Markos</w:t>
      </w:r>
      <w:proofErr w:type="spellEnd"/>
      <w:r w:rsidRPr="0068786A">
        <w:rPr>
          <w:rFonts w:ascii="Times New Roman" w:hAnsi="Times New Roman" w:cs="Times New Roman"/>
          <w:kern w:val="24"/>
        </w:rPr>
        <w:t xml:space="preserve"> University</w:t>
      </w:r>
      <w:r w:rsidRPr="0068786A">
        <w:rPr>
          <w:rFonts w:ascii="Times New Roman" w:hAnsi="Times New Roman" w:cs="Times New Roman"/>
          <w:kern w:val="24"/>
        </w:rPr>
        <w:t>,</w:t>
      </w:r>
      <w:r w:rsidRPr="0068786A">
        <w:rPr>
          <w:rFonts w:ascii="Times New Roman" w:hAnsi="Times New Roman" w:cs="Times New Roman"/>
          <w:kern w:val="24"/>
          <w:sz w:val="24"/>
          <w:szCs w:val="24"/>
        </w:rPr>
        <w:t xml:space="preserve"> </w:t>
      </w:r>
      <w:r w:rsidRPr="0068786A">
        <w:rPr>
          <w:rFonts w:ascii="Times New Roman" w:hAnsi="Times New Roman" w:cs="Times New Roman"/>
          <w:kern w:val="24"/>
        </w:rPr>
        <w:t>Ethiopia</w:t>
      </w:r>
    </w:p>
    <w:p w:rsidR="00FD286E" w:rsidRDefault="00FD286E" w:rsidP="00FD286E">
      <w:pPr>
        <w:rPr>
          <w:rFonts w:ascii="Times New Roman" w:hAnsi="Times New Roman" w:cs="Times New Roman"/>
          <w:b/>
          <w:kern w:val="24"/>
          <w:sz w:val="24"/>
          <w:szCs w:val="24"/>
        </w:rPr>
      </w:pPr>
      <w:r w:rsidRPr="00FD286E">
        <w:rPr>
          <w:rFonts w:ascii="Times New Roman" w:hAnsi="Times New Roman" w:cs="Times New Roman"/>
          <w:kern w:val="24"/>
          <w:sz w:val="24"/>
          <w:szCs w:val="24"/>
        </w:rPr>
        <w:t xml:space="preserve">                                                         </w:t>
      </w:r>
      <w:r w:rsidRPr="00FD286E">
        <w:rPr>
          <w:rFonts w:ascii="Times New Roman" w:hAnsi="Times New Roman" w:cs="Times New Roman"/>
          <w:b/>
          <w:kern w:val="24"/>
          <w:sz w:val="24"/>
          <w:szCs w:val="24"/>
        </w:rPr>
        <w:t>Abstract</w:t>
      </w:r>
    </w:p>
    <w:p w:rsidR="00FD286E" w:rsidRDefault="00FD286E" w:rsidP="00FD286E">
      <w:pPr>
        <w:rPr>
          <w:rFonts w:ascii="Times New Roman" w:hAnsi="Times New Roman" w:cs="Times New Roman"/>
          <w:sz w:val="20"/>
          <w:szCs w:val="20"/>
        </w:rPr>
      </w:pPr>
      <w:r w:rsidRPr="00FD286E">
        <w:rPr>
          <w:rFonts w:ascii="Times New Roman" w:hAnsi="Times New Roman" w:cs="Times New Roman"/>
          <w:sz w:val="20"/>
          <w:szCs w:val="20"/>
        </w:rPr>
        <w:t xml:space="preserve">Latrine utilization is the use of latrine by all the family members in the households consistently. A lack of sanitation facilities including latrine, water and safe waste disposal system leads people to practice open defecation and throwing dirt anywhere resulting environmental pollution that leads diarrheal diseases and many other health </w:t>
      </w:r>
      <w:proofErr w:type="spellStart"/>
      <w:r w:rsidRPr="00FD286E">
        <w:rPr>
          <w:rFonts w:ascii="Times New Roman" w:hAnsi="Times New Roman" w:cs="Times New Roman"/>
          <w:sz w:val="20"/>
          <w:szCs w:val="20"/>
        </w:rPr>
        <w:t>problems.A</w:t>
      </w:r>
      <w:proofErr w:type="spellEnd"/>
      <w:r w:rsidRPr="00FD286E">
        <w:rPr>
          <w:rFonts w:ascii="Times New Roman" w:hAnsi="Times New Roman" w:cs="Times New Roman"/>
          <w:sz w:val="20"/>
          <w:szCs w:val="20"/>
        </w:rPr>
        <w:t xml:space="preserve"> community based cross-sectional study was conducted on households of East </w:t>
      </w:r>
      <w:proofErr w:type="spellStart"/>
      <w:r w:rsidRPr="00FD286E">
        <w:rPr>
          <w:rFonts w:ascii="Times New Roman" w:hAnsi="Times New Roman" w:cs="Times New Roman"/>
          <w:sz w:val="20"/>
          <w:szCs w:val="20"/>
        </w:rPr>
        <w:t>Gojjam</w:t>
      </w:r>
      <w:proofErr w:type="spellEnd"/>
      <w:r w:rsidRPr="00FD286E">
        <w:rPr>
          <w:rFonts w:ascii="Times New Roman" w:hAnsi="Times New Roman" w:cs="Times New Roman"/>
          <w:sz w:val="20"/>
          <w:szCs w:val="20"/>
        </w:rPr>
        <w:t xml:space="preserve"> zone, from February 1 to May 30, 2021. Multistage cluster sampling technique was used to select 806 study participants in to the study. Data was collected through pre-tested structured interview questionnaire and direct observation. Collected data was entered and cleaned using </w:t>
      </w:r>
      <w:r w:rsidRPr="00FD286E">
        <w:rPr>
          <w:rFonts w:ascii="Times New Roman" w:hAnsi="Times New Roman" w:cs="Times New Roman"/>
          <w:color w:val="000000"/>
          <w:sz w:val="20"/>
          <w:szCs w:val="20"/>
        </w:rPr>
        <w:t xml:space="preserve">EPI info version 7.2 </w:t>
      </w:r>
      <w:r w:rsidRPr="00FD286E">
        <w:rPr>
          <w:rFonts w:ascii="Times New Roman" w:hAnsi="Times New Roman" w:cs="Times New Roman"/>
          <w:sz w:val="20"/>
          <w:szCs w:val="20"/>
        </w:rPr>
        <w:t xml:space="preserve">and analysed using SPSS version 23 software package. </w:t>
      </w:r>
      <w:proofErr w:type="spellStart"/>
      <w:r w:rsidRPr="00FD286E">
        <w:rPr>
          <w:rFonts w:ascii="Times New Roman" w:hAnsi="Times New Roman" w:cs="Times New Roman"/>
          <w:color w:val="000000" w:themeColor="text1"/>
          <w:sz w:val="20"/>
          <w:szCs w:val="20"/>
        </w:rPr>
        <w:t>Bivariable</w:t>
      </w:r>
      <w:proofErr w:type="spellEnd"/>
      <w:r w:rsidRPr="00FD286E">
        <w:rPr>
          <w:rFonts w:ascii="Times New Roman" w:hAnsi="Times New Roman" w:cs="Times New Roman"/>
          <w:color w:val="000000" w:themeColor="text1"/>
          <w:sz w:val="20"/>
          <w:szCs w:val="20"/>
        </w:rPr>
        <w:t xml:space="preserve"> and multivariable logistic regression was employed to assess association of the variables and controlling the effect of confounders’ respectively. P-value less than 0.05 was taken as statistically </w:t>
      </w:r>
      <w:proofErr w:type="spellStart"/>
      <w:r w:rsidRPr="00FD286E">
        <w:rPr>
          <w:rFonts w:ascii="Times New Roman" w:hAnsi="Times New Roman" w:cs="Times New Roman"/>
          <w:color w:val="000000" w:themeColor="text1"/>
          <w:sz w:val="20"/>
          <w:szCs w:val="20"/>
        </w:rPr>
        <w:t>significant.</w:t>
      </w:r>
      <w:r w:rsidRPr="00FD286E">
        <w:rPr>
          <w:rFonts w:ascii="Times New Roman" w:hAnsi="Times New Roman" w:cs="Times New Roman"/>
          <w:color w:val="0D0D0D" w:themeColor="text1" w:themeTint="F2"/>
          <w:sz w:val="20"/>
          <w:szCs w:val="20"/>
        </w:rPr>
        <w:t>The</w:t>
      </w:r>
      <w:proofErr w:type="spellEnd"/>
      <w:r w:rsidRPr="00FD286E">
        <w:rPr>
          <w:rFonts w:ascii="Times New Roman" w:hAnsi="Times New Roman" w:cs="Times New Roman"/>
          <w:color w:val="0D0D0D" w:themeColor="text1" w:themeTint="F2"/>
          <w:sz w:val="20"/>
          <w:szCs w:val="20"/>
        </w:rPr>
        <w:t xml:space="preserve"> overall </w:t>
      </w:r>
      <w:r w:rsidRPr="00FD286E">
        <w:rPr>
          <w:rFonts w:ascii="Times New Roman" w:hAnsi="Times New Roman" w:cs="Times New Roman"/>
          <w:sz w:val="20"/>
          <w:szCs w:val="20"/>
        </w:rPr>
        <w:t xml:space="preserve">latrine utilization </w:t>
      </w:r>
      <w:r w:rsidRPr="00FD286E">
        <w:rPr>
          <w:rFonts w:ascii="Times New Roman" w:hAnsi="Times New Roman" w:cs="Times New Roman"/>
          <w:color w:val="0D0D0D" w:themeColor="text1" w:themeTint="F2"/>
          <w:sz w:val="20"/>
          <w:szCs w:val="20"/>
        </w:rPr>
        <w:t xml:space="preserve">in East </w:t>
      </w:r>
      <w:proofErr w:type="spellStart"/>
      <w:r w:rsidRPr="00FD286E">
        <w:rPr>
          <w:rFonts w:ascii="Times New Roman" w:hAnsi="Times New Roman" w:cs="Times New Roman"/>
          <w:color w:val="0D0D0D" w:themeColor="text1" w:themeTint="F2"/>
          <w:sz w:val="20"/>
          <w:szCs w:val="20"/>
        </w:rPr>
        <w:t>Gojjam</w:t>
      </w:r>
      <w:proofErr w:type="spellEnd"/>
      <w:r w:rsidRPr="00FD286E">
        <w:rPr>
          <w:rFonts w:ascii="Times New Roman" w:hAnsi="Times New Roman" w:cs="Times New Roman"/>
          <w:color w:val="0D0D0D" w:themeColor="text1" w:themeTint="F2"/>
          <w:sz w:val="20"/>
          <w:szCs w:val="20"/>
        </w:rPr>
        <w:t xml:space="preserve"> Zone</w:t>
      </w:r>
      <w:r w:rsidRPr="00FD286E">
        <w:rPr>
          <w:rFonts w:ascii="Times New Roman" w:hAnsi="Times New Roman" w:cs="Times New Roman"/>
          <w:sz w:val="20"/>
          <w:szCs w:val="20"/>
        </w:rPr>
        <w:t xml:space="preserve"> was found to be 45.4% with (95% </w:t>
      </w:r>
      <w:r w:rsidRPr="00FD286E">
        <w:rPr>
          <w:rFonts w:ascii="Times New Roman" w:hAnsi="Times New Roman" w:cs="Times New Roman"/>
          <w:sz w:val="20"/>
          <w:szCs w:val="20"/>
        </w:rPr>
        <w:t xml:space="preserve">    </w:t>
      </w:r>
      <w:r w:rsidRPr="00FD286E">
        <w:rPr>
          <w:rFonts w:ascii="Times New Roman" w:hAnsi="Times New Roman" w:cs="Times New Roman"/>
          <w:sz w:val="20"/>
          <w:szCs w:val="20"/>
        </w:rPr>
        <w:t>CI:</w:t>
      </w:r>
      <w:r w:rsidRPr="00FD286E">
        <w:rPr>
          <w:rFonts w:ascii="Times New Roman" w:hAnsi="Times New Roman" w:cs="Times New Roman"/>
          <w:sz w:val="20"/>
          <w:szCs w:val="20"/>
        </w:rPr>
        <w:t xml:space="preserve"> 42.2: 49.1</w:t>
      </w:r>
      <w:r w:rsidRPr="00FD286E">
        <w:rPr>
          <w:rFonts w:ascii="Times New Roman" w:hAnsi="Times New Roman" w:cs="Times New Roman"/>
          <w:b/>
          <w:sz w:val="20"/>
          <w:szCs w:val="20"/>
        </w:rPr>
        <w:t xml:space="preserve"> </w:t>
      </w:r>
      <w:r w:rsidRPr="00FD286E">
        <w:rPr>
          <w:rFonts w:ascii="Times New Roman" w:hAnsi="Times New Roman" w:cs="Times New Roman"/>
          <w:b/>
          <w:sz w:val="20"/>
          <w:szCs w:val="20"/>
        </w:rPr>
        <w:t xml:space="preserve">   </w:t>
      </w:r>
      <w:r w:rsidRPr="00FD286E">
        <w:rPr>
          <w:rFonts w:ascii="Times New Roman" w:hAnsi="Times New Roman" w:cs="Times New Roman"/>
          <w:sz w:val="20"/>
          <w:szCs w:val="20"/>
        </w:rPr>
        <w:t>Occupation</w:t>
      </w:r>
      <w:r w:rsidRPr="00FD286E">
        <w:rPr>
          <w:rFonts w:ascii="Times New Roman" w:hAnsi="Times New Roman" w:cs="Times New Roman"/>
          <w:color w:val="0D0D0D" w:themeColor="text1" w:themeTint="F2"/>
          <w:sz w:val="20"/>
          <w:szCs w:val="20"/>
        </w:rPr>
        <w:t xml:space="preserve"> </w:t>
      </w:r>
      <w:r w:rsidRPr="00FD286E">
        <w:rPr>
          <w:rFonts w:ascii="Times New Roman" w:hAnsi="Times New Roman" w:cs="Times New Roman"/>
          <w:sz w:val="20"/>
          <w:szCs w:val="20"/>
        </w:rPr>
        <w:t>(AOR=</w:t>
      </w:r>
      <w:r w:rsidRPr="00FD286E">
        <w:rPr>
          <w:rFonts w:ascii="Times New Roman" w:hAnsi="Times New Roman" w:cs="Times New Roman"/>
          <w:color w:val="000000"/>
          <w:sz w:val="20"/>
          <w:szCs w:val="20"/>
        </w:rPr>
        <w:t>2.248, 95% CI 1.037: 4.876</w:t>
      </w:r>
      <w:r w:rsidRPr="00FD286E">
        <w:rPr>
          <w:rFonts w:ascii="Times New Roman" w:hAnsi="Times New Roman" w:cs="Times New Roman"/>
          <w:sz w:val="20"/>
          <w:szCs w:val="20"/>
        </w:rPr>
        <w:t xml:space="preserve">), </w:t>
      </w:r>
      <w:r w:rsidRPr="00FD286E">
        <w:rPr>
          <w:rFonts w:ascii="Times New Roman" w:hAnsi="Times New Roman" w:cs="Times New Roman"/>
          <w:color w:val="0D0D0D" w:themeColor="text1" w:themeTint="F2"/>
          <w:sz w:val="20"/>
          <w:szCs w:val="20"/>
        </w:rPr>
        <w:t xml:space="preserve">participating in model family training </w:t>
      </w:r>
      <w:r w:rsidRPr="00FD286E">
        <w:rPr>
          <w:rFonts w:ascii="Times New Roman" w:hAnsi="Times New Roman" w:cs="Times New Roman"/>
          <w:sz w:val="20"/>
          <w:szCs w:val="20"/>
        </w:rPr>
        <w:t>(AOR=</w:t>
      </w:r>
      <w:r w:rsidRPr="00FD286E">
        <w:rPr>
          <w:rFonts w:ascii="Times New Roman" w:hAnsi="Times New Roman" w:cs="Times New Roman"/>
          <w:color w:val="000000"/>
          <w:sz w:val="20"/>
          <w:szCs w:val="20"/>
        </w:rPr>
        <w:t>2.481, 95% CI 1.802: 3.415</w:t>
      </w:r>
      <w:r w:rsidRPr="00FD286E">
        <w:rPr>
          <w:rFonts w:ascii="Times New Roman" w:hAnsi="Times New Roman" w:cs="Times New Roman"/>
          <w:sz w:val="20"/>
          <w:szCs w:val="20"/>
        </w:rPr>
        <w:t xml:space="preserve">), </w:t>
      </w:r>
      <w:r w:rsidRPr="00FD286E">
        <w:rPr>
          <w:rFonts w:ascii="Times New Roman" w:hAnsi="Times New Roman" w:cs="Times New Roman"/>
          <w:color w:val="0D0D0D" w:themeColor="text1" w:themeTint="F2"/>
          <w:sz w:val="20"/>
          <w:szCs w:val="20"/>
        </w:rPr>
        <w:t xml:space="preserve">water availability </w:t>
      </w:r>
      <w:r w:rsidRPr="00FD286E">
        <w:rPr>
          <w:rFonts w:ascii="Times New Roman" w:hAnsi="Times New Roman" w:cs="Times New Roman"/>
          <w:sz w:val="20"/>
          <w:szCs w:val="20"/>
        </w:rPr>
        <w:t>(AOR=</w:t>
      </w:r>
      <w:r w:rsidRPr="00FD286E">
        <w:rPr>
          <w:rFonts w:ascii="Times New Roman" w:hAnsi="Times New Roman" w:cs="Times New Roman"/>
          <w:color w:val="000000"/>
          <w:sz w:val="20"/>
          <w:szCs w:val="20"/>
        </w:rPr>
        <w:t>2.456, 95% CI 1.514: 3.983</w:t>
      </w:r>
      <w:r w:rsidRPr="00FD286E">
        <w:rPr>
          <w:rFonts w:ascii="Times New Roman" w:hAnsi="Times New Roman" w:cs="Times New Roman"/>
          <w:sz w:val="20"/>
          <w:szCs w:val="20"/>
        </w:rPr>
        <w:t>)</w:t>
      </w:r>
      <w:r w:rsidRPr="00FD286E">
        <w:rPr>
          <w:rFonts w:ascii="Times New Roman" w:hAnsi="Times New Roman" w:cs="Times New Roman"/>
          <w:color w:val="0D0D0D" w:themeColor="text1" w:themeTint="F2"/>
          <w:sz w:val="20"/>
          <w:szCs w:val="20"/>
        </w:rPr>
        <w:t xml:space="preserve">, and type of latrine </w:t>
      </w:r>
      <w:r w:rsidRPr="00FD286E">
        <w:rPr>
          <w:rFonts w:ascii="Times New Roman" w:hAnsi="Times New Roman" w:cs="Times New Roman"/>
          <w:sz w:val="20"/>
          <w:szCs w:val="20"/>
        </w:rPr>
        <w:t>(AOR=</w:t>
      </w:r>
      <w:r w:rsidRPr="00FD286E">
        <w:rPr>
          <w:rFonts w:ascii="Times New Roman" w:hAnsi="Times New Roman" w:cs="Times New Roman"/>
          <w:color w:val="000000"/>
          <w:sz w:val="20"/>
          <w:szCs w:val="20"/>
        </w:rPr>
        <w:t xml:space="preserve">2.013, 95% CI </w:t>
      </w:r>
      <w:r w:rsidRPr="00FD286E">
        <w:rPr>
          <w:rFonts w:ascii="Times New Roman" w:hAnsi="Times New Roman" w:cs="Times New Roman"/>
          <w:sz w:val="20"/>
          <w:szCs w:val="20"/>
        </w:rPr>
        <w:t>1.648: 2.972)</w:t>
      </w:r>
      <w:r w:rsidRPr="00FD286E">
        <w:rPr>
          <w:rFonts w:ascii="Times New Roman" w:hAnsi="Times New Roman" w:cs="Times New Roman"/>
          <w:color w:val="0D0D0D" w:themeColor="text1" w:themeTint="F2"/>
          <w:sz w:val="20"/>
          <w:szCs w:val="20"/>
        </w:rPr>
        <w:t xml:space="preserve"> had statistically significant association with latrine utilization.</w:t>
      </w:r>
      <w:r w:rsidRPr="00FD286E">
        <w:rPr>
          <w:rFonts w:ascii="Times New Roman" w:hAnsi="Times New Roman" w:cs="Times New Roman"/>
          <w:b/>
          <w:sz w:val="20"/>
          <w:szCs w:val="20"/>
        </w:rPr>
        <w:t xml:space="preserve"> </w:t>
      </w:r>
      <w:r w:rsidRPr="00FD286E">
        <w:rPr>
          <w:rFonts w:ascii="Times New Roman" w:hAnsi="Times New Roman" w:cs="Times New Roman"/>
          <w:sz w:val="20"/>
          <w:szCs w:val="20"/>
        </w:rPr>
        <w:t xml:space="preserve">Latrine utilization in East </w:t>
      </w:r>
      <w:proofErr w:type="spellStart"/>
      <w:r w:rsidRPr="00FD286E">
        <w:rPr>
          <w:rFonts w:ascii="Times New Roman" w:hAnsi="Times New Roman" w:cs="Times New Roman"/>
          <w:sz w:val="20"/>
          <w:szCs w:val="20"/>
        </w:rPr>
        <w:t>Gojjam</w:t>
      </w:r>
      <w:proofErr w:type="spellEnd"/>
      <w:r w:rsidRPr="00FD286E">
        <w:rPr>
          <w:rFonts w:ascii="Times New Roman" w:hAnsi="Times New Roman" w:cs="Times New Roman"/>
          <w:sz w:val="20"/>
          <w:szCs w:val="20"/>
        </w:rPr>
        <w:t xml:space="preserve"> Zone was found to be low relative to other studies and the country’s plan. It is very far apart from the Ethiopian latrine coverage and utilization plan (100%).  Occupational status, participated in the model family training, water availability, and type of toilet were significantly associated with toilet utilization. Encouraging private latrine construction with accessibility of water and </w:t>
      </w:r>
      <w:proofErr w:type="gramStart"/>
      <w:r w:rsidRPr="00FD286E">
        <w:rPr>
          <w:rFonts w:ascii="Times New Roman" w:hAnsi="Times New Roman" w:cs="Times New Roman"/>
          <w:sz w:val="20"/>
          <w:szCs w:val="20"/>
        </w:rPr>
        <w:t>participating</w:t>
      </w:r>
      <w:proofErr w:type="gramEnd"/>
      <w:r w:rsidRPr="00FD286E">
        <w:rPr>
          <w:rFonts w:ascii="Times New Roman" w:hAnsi="Times New Roman" w:cs="Times New Roman"/>
          <w:sz w:val="20"/>
          <w:szCs w:val="20"/>
        </w:rPr>
        <w:t xml:space="preserve"> all households in model family training may increase latrine utilization in East </w:t>
      </w:r>
      <w:proofErr w:type="spellStart"/>
      <w:r w:rsidRPr="00FD286E">
        <w:rPr>
          <w:rFonts w:ascii="Times New Roman" w:hAnsi="Times New Roman" w:cs="Times New Roman"/>
          <w:sz w:val="20"/>
          <w:szCs w:val="20"/>
        </w:rPr>
        <w:t>Gojjam</w:t>
      </w:r>
      <w:proofErr w:type="spellEnd"/>
      <w:r w:rsidRPr="00FD286E">
        <w:rPr>
          <w:rFonts w:ascii="Times New Roman" w:hAnsi="Times New Roman" w:cs="Times New Roman"/>
          <w:sz w:val="20"/>
          <w:szCs w:val="20"/>
        </w:rPr>
        <w:t xml:space="preserve"> zone. Further observational study triangulated with qualitative research should be conducted to provide more strong evidence for further improvement of household latrine utilization status in East </w:t>
      </w:r>
      <w:proofErr w:type="spellStart"/>
      <w:r w:rsidRPr="00FD286E">
        <w:rPr>
          <w:rFonts w:ascii="Times New Roman" w:hAnsi="Times New Roman" w:cs="Times New Roman"/>
          <w:sz w:val="20"/>
          <w:szCs w:val="20"/>
        </w:rPr>
        <w:t>Gojjam</w:t>
      </w:r>
      <w:proofErr w:type="spellEnd"/>
      <w:r w:rsidRPr="00FD286E">
        <w:rPr>
          <w:rFonts w:ascii="Times New Roman" w:hAnsi="Times New Roman" w:cs="Times New Roman"/>
          <w:sz w:val="20"/>
          <w:szCs w:val="20"/>
        </w:rPr>
        <w:t xml:space="preserve"> Zone.</w:t>
      </w:r>
    </w:p>
    <w:p w:rsidR="00FD286E" w:rsidRPr="0068786A" w:rsidRDefault="0068786A" w:rsidP="00FD286E">
      <w:pPr>
        <w:rPr>
          <w:rFonts w:ascii="Times New Roman" w:hAnsi="Times New Roman" w:cs="Times New Roman"/>
          <w:color w:val="0D0D0D" w:themeColor="text1" w:themeTint="F2"/>
          <w:sz w:val="24"/>
          <w:szCs w:val="24"/>
        </w:rPr>
      </w:pPr>
      <w:r w:rsidRPr="0068786A">
        <w:rPr>
          <w:rFonts w:ascii="Times New Roman" w:hAnsi="Times New Roman" w:cs="Times New Roman"/>
          <w:b/>
          <w:color w:val="0D0D0D" w:themeColor="text1" w:themeTint="F2"/>
          <w:sz w:val="24"/>
          <w:szCs w:val="24"/>
        </w:rPr>
        <w:t>Biography:</w:t>
      </w:r>
      <w:r w:rsidRPr="0068786A">
        <w:rPr>
          <w:rFonts w:ascii="Arial" w:hAnsi="Arial" w:cs="Arial"/>
          <w:b/>
          <w:kern w:val="24"/>
          <w:sz w:val="24"/>
          <w:szCs w:val="24"/>
        </w:rPr>
        <w:t xml:space="preserve"> </w:t>
      </w:r>
      <w:proofErr w:type="spellStart"/>
      <w:r w:rsidRPr="0068786A">
        <w:rPr>
          <w:rFonts w:ascii="Times New Roman" w:hAnsi="Times New Roman" w:cs="Times New Roman"/>
          <w:kern w:val="24"/>
          <w:sz w:val="20"/>
          <w:szCs w:val="20"/>
        </w:rPr>
        <w:t>Misganaw</w:t>
      </w:r>
      <w:proofErr w:type="spellEnd"/>
      <w:r w:rsidRPr="0068786A">
        <w:rPr>
          <w:rFonts w:ascii="Times New Roman" w:hAnsi="Times New Roman" w:cs="Times New Roman"/>
          <w:kern w:val="24"/>
          <w:sz w:val="20"/>
          <w:szCs w:val="20"/>
        </w:rPr>
        <w:t xml:space="preserve"> </w:t>
      </w:r>
      <w:proofErr w:type="spellStart"/>
      <w:r w:rsidRPr="0068786A">
        <w:rPr>
          <w:rFonts w:ascii="Times New Roman" w:hAnsi="Times New Roman" w:cs="Times New Roman"/>
          <w:kern w:val="24"/>
          <w:sz w:val="20"/>
          <w:szCs w:val="20"/>
        </w:rPr>
        <w:t>Fikrie</w:t>
      </w:r>
      <w:proofErr w:type="spellEnd"/>
      <w:r w:rsidRPr="0068786A">
        <w:rPr>
          <w:rFonts w:ascii="Times New Roman" w:hAnsi="Times New Roman" w:cs="Times New Roman"/>
          <w:kern w:val="24"/>
          <w:sz w:val="20"/>
          <w:szCs w:val="20"/>
        </w:rPr>
        <w:t xml:space="preserve"> </w:t>
      </w:r>
      <w:proofErr w:type="spellStart"/>
      <w:r w:rsidRPr="0068786A">
        <w:rPr>
          <w:rFonts w:ascii="Times New Roman" w:hAnsi="Times New Roman" w:cs="Times New Roman"/>
          <w:kern w:val="24"/>
          <w:sz w:val="20"/>
          <w:szCs w:val="20"/>
        </w:rPr>
        <w:t>Melesse</w:t>
      </w:r>
      <w:proofErr w:type="spellEnd"/>
      <w:r w:rsidRPr="0068786A">
        <w:rPr>
          <w:rFonts w:ascii="Times New Roman" w:hAnsi="Times New Roman" w:cs="Times New Roman"/>
          <w:kern w:val="24"/>
          <w:sz w:val="20"/>
          <w:szCs w:val="20"/>
        </w:rPr>
        <w:t xml:space="preserve"> </w:t>
      </w:r>
      <w:r w:rsidRPr="0068786A">
        <w:rPr>
          <w:rFonts w:ascii="Times New Roman" w:hAnsi="Times New Roman" w:cs="Times New Roman"/>
          <w:color w:val="111111"/>
          <w:sz w:val="20"/>
          <w:szCs w:val="20"/>
          <w:shd w:val="clear" w:color="auto" w:fill="FFFFFF"/>
        </w:rPr>
        <w:t xml:space="preserve">the health extension service is a package that aims to improve primary healthcare services, mainly in rural areas through an innovative community-based approach that focuses on prevention, healthy living, and basic curative care which is implemented by the health extension workers using the health post as a </w:t>
      </w:r>
      <w:proofErr w:type="spellStart"/>
      <w:r w:rsidRPr="0068786A">
        <w:rPr>
          <w:rFonts w:ascii="Times New Roman" w:hAnsi="Times New Roman" w:cs="Times New Roman"/>
          <w:color w:val="111111"/>
          <w:sz w:val="20"/>
          <w:szCs w:val="20"/>
          <w:shd w:val="clear" w:color="auto" w:fill="FFFFFF"/>
        </w:rPr>
        <w:t>center</w:t>
      </w:r>
      <w:proofErr w:type="spellEnd"/>
      <w:r w:rsidRPr="0068786A">
        <w:rPr>
          <w:rFonts w:ascii="Times New Roman" w:hAnsi="Times New Roman" w:cs="Times New Roman"/>
          <w:color w:val="111111"/>
          <w:sz w:val="20"/>
          <w:szCs w:val="20"/>
          <w:shd w:val="clear" w:color="auto" w:fill="FFFFFF"/>
        </w:rPr>
        <w:t xml:space="preserve"> of care.</w:t>
      </w:r>
    </w:p>
    <w:p w:rsidR="00FD286E" w:rsidRPr="00FD286E" w:rsidRDefault="00FD286E" w:rsidP="00FD286E">
      <w:pPr>
        <w:rPr>
          <w:rFonts w:ascii="Times New Roman" w:hAnsi="Times New Roman" w:cs="Times New Roman"/>
          <w:b/>
          <w:kern w:val="24"/>
          <w:sz w:val="20"/>
          <w:szCs w:val="20"/>
        </w:rPr>
      </w:pPr>
    </w:p>
    <w:p w:rsidR="00FD286E" w:rsidRPr="00FD286E" w:rsidRDefault="00FD286E">
      <w:pPr>
        <w:rPr>
          <w:rFonts w:ascii="Times New Roman" w:hAnsi="Times New Roman" w:cs="Times New Roman"/>
          <w:b/>
          <w:sz w:val="24"/>
          <w:szCs w:val="24"/>
        </w:rPr>
      </w:pPr>
    </w:p>
    <w:sectPr w:rsidR="00FD286E" w:rsidRPr="00FD28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86E"/>
    <w:rsid w:val="00275660"/>
    <w:rsid w:val="0068786A"/>
    <w:rsid w:val="008D4CD2"/>
    <w:rsid w:val="00FD28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86E"/>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86E"/>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2022-12-12T09:16:00Z</dcterms:created>
  <dcterms:modified xsi:type="dcterms:W3CDTF">2022-12-12T09:30:00Z</dcterms:modified>
</cp:coreProperties>
</file>