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700" w:rsidRDefault="00E954A3" w:rsidP="00B61700">
      <w:pPr>
        <w:jc w:val="both"/>
        <w:rPr>
          <w:rFonts w:ascii="Times New Roman" w:hAnsi="Times New Roman" w:cs="Times New Roman"/>
          <w:b/>
          <w:sz w:val="32"/>
          <w:szCs w:val="24"/>
        </w:rPr>
      </w:pPr>
      <w:r>
        <w:rPr>
          <w:rFonts w:ascii="Times New Roman" w:hAnsi="Times New Roman" w:cs="Times New Roman"/>
          <w:b/>
          <w:sz w:val="32"/>
          <w:szCs w:val="24"/>
        </w:rPr>
        <w:t>R</w:t>
      </w:r>
      <w:bookmarkStart w:id="0" w:name="_GoBack"/>
      <w:bookmarkEnd w:id="0"/>
      <w:r w:rsidRPr="00B61700">
        <w:rPr>
          <w:rFonts w:ascii="Times New Roman" w:hAnsi="Times New Roman" w:cs="Times New Roman"/>
          <w:b/>
          <w:sz w:val="32"/>
          <w:szCs w:val="24"/>
        </w:rPr>
        <w:t>emission as an emerging therapeutic target in type 2 diabetes in the era of new glu</w:t>
      </w:r>
      <w:r>
        <w:rPr>
          <w:rFonts w:ascii="Times New Roman" w:hAnsi="Times New Roman" w:cs="Times New Roman"/>
          <w:b/>
          <w:sz w:val="32"/>
          <w:szCs w:val="24"/>
        </w:rPr>
        <w:t xml:space="preserve">cose-lowering agents: </w:t>
      </w:r>
      <w:proofErr w:type="spellStart"/>
      <w:r>
        <w:rPr>
          <w:rFonts w:ascii="Times New Roman" w:hAnsi="Times New Roman" w:cs="Times New Roman"/>
          <w:b/>
          <w:sz w:val="32"/>
          <w:szCs w:val="24"/>
        </w:rPr>
        <w:t>benefits,</w:t>
      </w:r>
      <w:r w:rsidRPr="00B61700">
        <w:rPr>
          <w:rFonts w:ascii="Times New Roman" w:hAnsi="Times New Roman" w:cs="Times New Roman"/>
          <w:b/>
          <w:sz w:val="32"/>
          <w:szCs w:val="24"/>
        </w:rPr>
        <w:t>challenges</w:t>
      </w:r>
      <w:proofErr w:type="spellEnd"/>
      <w:r w:rsidRPr="00B61700">
        <w:rPr>
          <w:rFonts w:ascii="Times New Roman" w:hAnsi="Times New Roman" w:cs="Times New Roman"/>
          <w:b/>
          <w:sz w:val="32"/>
          <w:szCs w:val="24"/>
        </w:rPr>
        <w:t>, and treatment approaches</w:t>
      </w:r>
    </w:p>
    <w:p w:rsidR="00B61700" w:rsidRDefault="00B61700">
      <w:pPr>
        <w:rPr>
          <w:rFonts w:ascii="Times New Roman" w:hAnsi="Times New Roman" w:cs="Times New Roman"/>
          <w:sz w:val="24"/>
          <w:szCs w:val="24"/>
        </w:rPr>
      </w:pPr>
      <w:proofErr w:type="spellStart"/>
      <w:r w:rsidRPr="00B61700">
        <w:rPr>
          <w:rFonts w:ascii="Times New Roman" w:hAnsi="Times New Roman" w:cs="Times New Roman"/>
          <w:sz w:val="24"/>
          <w:szCs w:val="24"/>
        </w:rPr>
        <w:t>Georgios</w:t>
      </w:r>
      <w:proofErr w:type="spellEnd"/>
      <w:r w:rsidRPr="00B61700">
        <w:rPr>
          <w:rFonts w:ascii="Times New Roman" w:hAnsi="Times New Roman" w:cs="Times New Roman"/>
          <w:sz w:val="24"/>
          <w:szCs w:val="24"/>
        </w:rPr>
        <w:t xml:space="preserve"> </w:t>
      </w:r>
      <w:proofErr w:type="spellStart"/>
      <w:r w:rsidRPr="00B61700">
        <w:rPr>
          <w:rFonts w:ascii="Times New Roman" w:hAnsi="Times New Roman" w:cs="Times New Roman"/>
          <w:sz w:val="24"/>
          <w:szCs w:val="24"/>
        </w:rPr>
        <w:t>Tsamos</w:t>
      </w:r>
      <w:proofErr w:type="spellEnd"/>
      <w:r w:rsidRPr="00B61700">
        <w:rPr>
          <w:rFonts w:ascii="Times New Roman" w:hAnsi="Times New Roman" w:cs="Times New Roman"/>
          <w:sz w:val="24"/>
          <w:szCs w:val="24"/>
        </w:rPr>
        <w:t xml:space="preserve"> </w:t>
      </w:r>
    </w:p>
    <w:p w:rsidR="00B61700" w:rsidRDefault="00B61700">
      <w:pPr>
        <w:rPr>
          <w:rFonts w:ascii="Times New Roman" w:hAnsi="Times New Roman" w:cs="Times New Roman"/>
        </w:rPr>
      </w:pPr>
      <w:r w:rsidRPr="00B61700">
        <w:rPr>
          <w:rFonts w:ascii="Times New Roman" w:hAnsi="Times New Roman" w:cs="Times New Roman"/>
        </w:rPr>
        <w:t>Norwich University Hospitals</w:t>
      </w:r>
      <w:r>
        <w:rPr>
          <w:rFonts w:ascii="Times New Roman" w:hAnsi="Times New Roman" w:cs="Times New Roman"/>
        </w:rPr>
        <w:t>, UK</w:t>
      </w:r>
      <w:r w:rsidRPr="00B61700">
        <w:rPr>
          <w:rFonts w:ascii="Times New Roman" w:hAnsi="Times New Roman" w:cs="Times New Roman"/>
        </w:rPr>
        <w:t xml:space="preserve"> </w:t>
      </w:r>
    </w:p>
    <w:p w:rsidR="0019048D" w:rsidRDefault="0019048D">
      <w:pPr>
        <w:rPr>
          <w:rFonts w:ascii="Times New Roman" w:hAnsi="Times New Roman" w:cs="Times New Roman"/>
          <w:b/>
          <w:sz w:val="24"/>
        </w:rPr>
      </w:pPr>
      <w:r w:rsidRPr="0019048D">
        <w:rPr>
          <w:rFonts w:ascii="Times New Roman" w:hAnsi="Times New Roman" w:cs="Times New Roman"/>
          <w:b/>
          <w:sz w:val="24"/>
        </w:rPr>
        <w:t>Abstract</w:t>
      </w:r>
      <w:r w:rsidR="00D60BE4">
        <w:rPr>
          <w:rFonts w:ascii="Times New Roman" w:hAnsi="Times New Roman" w:cs="Times New Roman"/>
          <w:b/>
          <w:sz w:val="24"/>
        </w:rPr>
        <w:t>:</w:t>
      </w:r>
    </w:p>
    <w:p w:rsidR="00B61700" w:rsidRPr="00B61700" w:rsidRDefault="00B61700" w:rsidP="00D60BE4">
      <w:pPr>
        <w:pStyle w:val="Normal1"/>
        <w:spacing w:line="360" w:lineRule="auto"/>
        <w:ind w:left="100"/>
        <w:jc w:val="both"/>
        <w:rPr>
          <w:rFonts w:ascii="Times New Roman" w:hAnsi="Times New Roman" w:cs="Times New Roman"/>
          <w:sz w:val="20"/>
          <w:szCs w:val="24"/>
        </w:rPr>
      </w:pPr>
      <w:r w:rsidRPr="00B61700">
        <w:rPr>
          <w:rFonts w:ascii="Times New Roman" w:hAnsi="Times New Roman" w:cs="Times New Roman"/>
          <w:sz w:val="20"/>
          <w:szCs w:val="24"/>
        </w:rPr>
        <w:t>Type 2 diabetes mellitus (T2DM) is a progressive disease with a growing prevalence, associated with an increased risk of complications. The introduction of new classes of antidiabetic drugs into clinical practice has dramatically changed the landscape of diabetes therapy. However, despite the progress made in the pharmacotherapy of T2DM, mitigating the burden of the disease on individuals, societies and health care systems remains a challenge. Remission has recently emerged as a therapeutic target in T2DM, achievable through a wide range of interventions. Recent studies have shown that extensive lifestyle changes, such as weight reduction, bariatric surgery, and intensive glucose lowering therapy, can prompt the remission of diabetes, but some unanswered questions remain regarding its long-term effects on diabetic complications. Metabolic surgery and novel classes of glucose-lowering medications are currently the most effective interventions to induce weight loss and by extension remission in patients with diabetes; however, the ideal strategy to achieve the long-term maintenance of remission remains doubtful. In this narrative review, we discuss the available therapeutic approaches to target the remission of diabetes through personalized multimodal care, based on the latest evidence.</w:t>
      </w:r>
    </w:p>
    <w:p w:rsidR="00D60BE4" w:rsidRPr="00D60BE4" w:rsidRDefault="00D60BE4" w:rsidP="00D60BE4">
      <w:pPr>
        <w:pStyle w:val="Normal1"/>
        <w:spacing w:line="360" w:lineRule="auto"/>
        <w:ind w:left="100"/>
        <w:jc w:val="both"/>
        <w:rPr>
          <w:rFonts w:ascii="Times New Roman" w:hAnsi="Times New Roman" w:cs="Times New Roman"/>
          <w:b/>
          <w:sz w:val="24"/>
          <w:szCs w:val="24"/>
        </w:rPr>
      </w:pPr>
      <w:r w:rsidRPr="00D60BE4">
        <w:rPr>
          <w:rFonts w:ascii="Times New Roman" w:hAnsi="Times New Roman" w:cs="Times New Roman"/>
          <w:b/>
          <w:sz w:val="24"/>
          <w:szCs w:val="24"/>
        </w:rPr>
        <w:t>References</w:t>
      </w:r>
      <w:r>
        <w:rPr>
          <w:rFonts w:ascii="Times New Roman" w:hAnsi="Times New Roman" w:cs="Times New Roman"/>
          <w:b/>
          <w:sz w:val="24"/>
          <w:szCs w:val="24"/>
        </w:rPr>
        <w:t>:</w:t>
      </w:r>
    </w:p>
    <w:p w:rsidR="00B61700" w:rsidRPr="00B61700" w:rsidRDefault="00B61700" w:rsidP="00B61700">
      <w:pPr>
        <w:pStyle w:val="Normal1"/>
        <w:spacing w:line="360" w:lineRule="auto"/>
        <w:ind w:left="100"/>
        <w:jc w:val="both"/>
        <w:rPr>
          <w:rFonts w:ascii="Times New Roman" w:hAnsi="Times New Roman" w:cs="Times New Roman"/>
          <w:sz w:val="20"/>
          <w:szCs w:val="24"/>
        </w:rPr>
      </w:pPr>
      <w:r w:rsidRPr="00B61700">
        <w:rPr>
          <w:rFonts w:ascii="Times New Roman" w:hAnsi="Times New Roman" w:cs="Times New Roman"/>
          <w:sz w:val="20"/>
          <w:szCs w:val="24"/>
        </w:rPr>
        <w:t>1.</w:t>
      </w:r>
      <w:r w:rsidRPr="00B61700">
        <w:rPr>
          <w:rFonts w:ascii="Times New Roman" w:hAnsi="Times New Roman" w:cs="Times New Roman"/>
          <w:sz w:val="20"/>
          <w:szCs w:val="24"/>
        </w:rPr>
        <w:tab/>
        <w:t>Riddle MC, Cefalu WT, Evans PH, et al. Consensus report: definition and interpretation of remission in type 2 diabetes. Diabetes Care. 2021;44 (10):2438–2444. doi:10.2337/dci21-0034</w:t>
      </w:r>
    </w:p>
    <w:p w:rsidR="00B61700" w:rsidRPr="00B61700" w:rsidRDefault="00B61700" w:rsidP="00B61700">
      <w:pPr>
        <w:pStyle w:val="Normal1"/>
        <w:spacing w:line="360" w:lineRule="auto"/>
        <w:ind w:left="100"/>
        <w:jc w:val="both"/>
        <w:rPr>
          <w:rFonts w:ascii="Times New Roman" w:hAnsi="Times New Roman" w:cs="Times New Roman"/>
          <w:sz w:val="20"/>
          <w:szCs w:val="24"/>
        </w:rPr>
      </w:pPr>
      <w:r w:rsidRPr="00B61700">
        <w:rPr>
          <w:rFonts w:ascii="Times New Roman" w:hAnsi="Times New Roman" w:cs="Times New Roman"/>
          <w:sz w:val="20"/>
          <w:szCs w:val="24"/>
        </w:rPr>
        <w:t>2.</w:t>
      </w:r>
      <w:r w:rsidRPr="00B61700">
        <w:rPr>
          <w:rFonts w:ascii="Times New Roman" w:hAnsi="Times New Roman" w:cs="Times New Roman"/>
          <w:sz w:val="20"/>
          <w:szCs w:val="24"/>
        </w:rPr>
        <w:tab/>
        <w:t>Mingrone G, Panunzi S, De Gaetano A, Guidone C, Iaconelli A, Capristo E, Chamseddine G, Bornstein SR and Rubino F. Metabolic surgery versus conventional medical therapy in patients with type 2 diabetes: 10-year follow-up of an open-label, single-centre, randomised controlled trial. Lancet 2021; 397: 293-304.</w:t>
      </w:r>
    </w:p>
    <w:p w:rsidR="00B61700" w:rsidRPr="00B61700" w:rsidRDefault="00B61700" w:rsidP="00B61700">
      <w:pPr>
        <w:pStyle w:val="Normal1"/>
        <w:spacing w:line="360" w:lineRule="auto"/>
        <w:ind w:left="100"/>
        <w:jc w:val="both"/>
        <w:rPr>
          <w:rFonts w:ascii="Times New Roman" w:hAnsi="Times New Roman" w:cs="Times New Roman"/>
          <w:sz w:val="20"/>
          <w:szCs w:val="24"/>
        </w:rPr>
      </w:pPr>
      <w:r w:rsidRPr="00B61700">
        <w:rPr>
          <w:rFonts w:ascii="Times New Roman" w:hAnsi="Times New Roman" w:cs="Times New Roman"/>
          <w:sz w:val="20"/>
          <w:szCs w:val="24"/>
        </w:rPr>
        <w:t>3.</w:t>
      </w:r>
      <w:r w:rsidRPr="00B61700">
        <w:rPr>
          <w:rFonts w:ascii="Times New Roman" w:hAnsi="Times New Roman" w:cs="Times New Roman"/>
          <w:sz w:val="20"/>
          <w:szCs w:val="24"/>
        </w:rPr>
        <w:tab/>
        <w:t>Jastreboff AM, Aronne LJ, Ahmad NN, Wharton S, Connery L, Alves B, Kiyosue A, Zhang S, Liu B, Bunck MC, Stefanski A; SURMOUNT-1 Investigators. Tirzepatide Once Weekly for the Treatment of Obesity. N Engl J Med. 2022 Jul 21;387(3):205-216. doi: 10.1056/NEJMoa2206038. Epub 2022 Jun 4. PMID: 35658024.</w:t>
      </w:r>
    </w:p>
    <w:p w:rsidR="00B61700" w:rsidRPr="00B61700" w:rsidRDefault="00B61700" w:rsidP="00B61700">
      <w:pPr>
        <w:pStyle w:val="Normal1"/>
        <w:spacing w:line="360" w:lineRule="auto"/>
        <w:ind w:left="100"/>
        <w:jc w:val="both"/>
        <w:rPr>
          <w:rFonts w:ascii="Times New Roman" w:hAnsi="Times New Roman" w:cs="Times New Roman"/>
          <w:sz w:val="20"/>
          <w:szCs w:val="24"/>
        </w:rPr>
      </w:pPr>
      <w:r w:rsidRPr="00B61700">
        <w:rPr>
          <w:rFonts w:ascii="Times New Roman" w:hAnsi="Times New Roman" w:cs="Times New Roman"/>
          <w:sz w:val="20"/>
          <w:szCs w:val="24"/>
        </w:rPr>
        <w:t>4.</w:t>
      </w:r>
      <w:r w:rsidRPr="00B61700">
        <w:rPr>
          <w:rFonts w:ascii="Times New Roman" w:hAnsi="Times New Roman" w:cs="Times New Roman"/>
          <w:sz w:val="20"/>
          <w:szCs w:val="24"/>
        </w:rPr>
        <w:tab/>
        <w:t>Koufakis T, Papazafiropoulou A, Makrilakis K, Kotsa K. Sodium-Glucose Co-transporter 2 Inhibitors Versus Metformin as the First-Line Treatment for Type 2 Diabetes: Is It Time for a Revolution? Cardiovasc Drugs Ther. 2021 Sep 3. doi: 10.1007/s10557-021-07249-0. Epub ahead of print. PMID: 34476668.</w:t>
      </w:r>
    </w:p>
    <w:p w:rsidR="00B61700" w:rsidRPr="00B61700" w:rsidRDefault="00B61700" w:rsidP="00B61700">
      <w:pPr>
        <w:pStyle w:val="Normal1"/>
        <w:spacing w:line="360" w:lineRule="auto"/>
        <w:ind w:left="100"/>
        <w:jc w:val="both"/>
        <w:rPr>
          <w:rFonts w:ascii="Times New Roman" w:hAnsi="Times New Roman" w:cs="Times New Roman"/>
          <w:sz w:val="20"/>
          <w:szCs w:val="24"/>
        </w:rPr>
      </w:pPr>
    </w:p>
    <w:p w:rsidR="00B61700" w:rsidRDefault="00B61700" w:rsidP="00B61700">
      <w:pPr>
        <w:pStyle w:val="Normal1"/>
        <w:spacing w:line="360" w:lineRule="auto"/>
        <w:ind w:left="100"/>
        <w:jc w:val="both"/>
        <w:rPr>
          <w:rFonts w:ascii="Times New Roman" w:hAnsi="Times New Roman" w:cs="Times New Roman"/>
          <w:sz w:val="20"/>
          <w:szCs w:val="24"/>
        </w:rPr>
      </w:pPr>
      <w:r w:rsidRPr="00B61700">
        <w:rPr>
          <w:rFonts w:ascii="Times New Roman" w:hAnsi="Times New Roman" w:cs="Times New Roman"/>
          <w:sz w:val="20"/>
          <w:szCs w:val="24"/>
        </w:rPr>
        <w:t xml:space="preserve">5. </w:t>
      </w:r>
      <w:r w:rsidRPr="00B61700">
        <w:rPr>
          <w:rFonts w:ascii="Times New Roman" w:hAnsi="Times New Roman" w:cs="Times New Roman"/>
          <w:sz w:val="20"/>
          <w:szCs w:val="24"/>
        </w:rPr>
        <w:tab/>
        <w:t xml:space="preserve">Taheri, S.; Zaghloul, H.; Chagoury, O.; Elhadad, S.; Ahmed, S.H.; El Khatib, N.; Amona, R.A.; El Nahas, K.; Suleiman, N.; Alnaama, A.; et al. Effect of intensive lifestyle intervention on bodyweight and </w:t>
      </w:r>
      <w:r w:rsidRPr="00B61700">
        <w:rPr>
          <w:rFonts w:ascii="Times New Roman" w:hAnsi="Times New Roman" w:cs="Times New Roman"/>
          <w:sz w:val="20"/>
          <w:szCs w:val="24"/>
        </w:rPr>
        <w:lastRenderedPageBreak/>
        <w:t>glycaemia in early type 2 diabetes (DIADEM-I): An open-label, parallel-group, randomised controlled trial. Lancet Diabetes Endocrinol. 2020 Jun;8(6):477-489. doi: 10.1016/S2213-8587(20)30117-0.</w:t>
      </w:r>
    </w:p>
    <w:p w:rsidR="0019048D" w:rsidRDefault="0019048D" w:rsidP="00B61700">
      <w:pPr>
        <w:pStyle w:val="Normal1"/>
        <w:spacing w:line="360" w:lineRule="auto"/>
        <w:ind w:left="100"/>
        <w:jc w:val="both"/>
        <w:rPr>
          <w:rFonts w:ascii="Times New Roman" w:hAnsi="Times New Roman" w:cs="Times New Roman"/>
          <w:sz w:val="24"/>
          <w:szCs w:val="24"/>
        </w:rPr>
      </w:pPr>
      <w:r w:rsidRPr="0019048D">
        <w:rPr>
          <w:rFonts w:ascii="Times New Roman" w:hAnsi="Times New Roman" w:cs="Times New Roman"/>
          <w:b/>
          <w:sz w:val="24"/>
          <w:szCs w:val="24"/>
        </w:rPr>
        <w:t>Biography</w:t>
      </w:r>
      <w:r>
        <w:rPr>
          <w:rFonts w:ascii="Times New Roman" w:hAnsi="Times New Roman" w:cs="Times New Roman"/>
          <w:sz w:val="24"/>
          <w:szCs w:val="24"/>
        </w:rPr>
        <w:t>:</w:t>
      </w:r>
    </w:p>
    <w:p w:rsidR="0019048D" w:rsidRPr="004A7066" w:rsidRDefault="00B61700" w:rsidP="00B61700">
      <w:pPr>
        <w:pStyle w:val="Normal1"/>
        <w:spacing w:line="360" w:lineRule="auto"/>
        <w:ind w:left="100"/>
        <w:jc w:val="both"/>
        <w:rPr>
          <w:rFonts w:ascii="Times New Roman" w:hAnsi="Times New Roman" w:cs="Times New Roman"/>
          <w:sz w:val="20"/>
          <w:szCs w:val="24"/>
        </w:rPr>
      </w:pPr>
      <w:r w:rsidRPr="00B61700">
        <w:rPr>
          <w:rFonts w:ascii="Times New Roman" w:hAnsi="Times New Roman" w:cs="Times New Roman"/>
          <w:sz w:val="20"/>
          <w:szCs w:val="24"/>
        </w:rPr>
        <w:t>George Tsamos is a young doctor and researcher with a keen interest in Gastroenterology. He has worked in multi-disciplinary environments as a doctor in Greece and now is a junior clinical fellow of gastroenterology at the Norfolk and Norwich University Hospitals in the UK. He has completed two MScs in Medical Research Methodology and Clinical Nutrition and his primary area of study is gastroenterological research and nutrition interventions.</w:t>
      </w:r>
    </w:p>
    <w:sectPr w:rsidR="0019048D" w:rsidRPr="004A70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48D"/>
    <w:rsid w:val="0002087A"/>
    <w:rsid w:val="00094164"/>
    <w:rsid w:val="0019048D"/>
    <w:rsid w:val="004A7066"/>
    <w:rsid w:val="00553F53"/>
    <w:rsid w:val="006C2385"/>
    <w:rsid w:val="00A41516"/>
    <w:rsid w:val="00B61700"/>
    <w:rsid w:val="00D60BE4"/>
    <w:rsid w:val="00E954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3</cp:revision>
  <dcterms:created xsi:type="dcterms:W3CDTF">2022-12-09T07:28:00Z</dcterms:created>
  <dcterms:modified xsi:type="dcterms:W3CDTF">2022-12-09T08:37:00Z</dcterms:modified>
</cp:coreProperties>
</file>