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541" w:rsidRDefault="00F50541" w:rsidP="00F50541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005DF0">
        <w:rPr>
          <w:rFonts w:ascii="Times New Roman" w:eastAsia="Times New Roman" w:hAnsi="Times New Roman" w:cs="Times New Roman"/>
          <w:b/>
        </w:rPr>
        <w:t xml:space="preserve">On the sensitivity of the Amazon Surface Climate to two land-surface hydrology schemes using a high-resolution regional climate model </w:t>
      </w:r>
    </w:p>
    <w:p w:rsidR="00005DF0" w:rsidRPr="00005DF0" w:rsidRDefault="00005DF0" w:rsidP="00005DF0">
      <w:pPr>
        <w:pStyle w:val="NoSpacing"/>
      </w:pPr>
      <w:proofErr w:type="spellStart"/>
      <w:r w:rsidRPr="00005DF0">
        <w:t>Samy</w:t>
      </w:r>
      <w:proofErr w:type="spellEnd"/>
      <w:r w:rsidRPr="00005DF0">
        <w:t xml:space="preserve"> A. Anwar</w:t>
      </w:r>
      <w:r w:rsidRPr="00005DF0">
        <w:rPr>
          <w:vertAlign w:val="superscript"/>
        </w:rPr>
        <w:t>,*</w:t>
      </w:r>
    </w:p>
    <w:p w:rsidR="00F50541" w:rsidRDefault="00005DF0" w:rsidP="00005DF0">
      <w:pPr>
        <w:pStyle w:val="NoSpacing"/>
        <w:rPr>
          <w:sz w:val="24"/>
          <w:szCs w:val="24"/>
        </w:rPr>
      </w:pPr>
      <w:r w:rsidRPr="00FC15F8">
        <w:rPr>
          <w:sz w:val="24"/>
          <w:szCs w:val="24"/>
        </w:rPr>
        <w:t>Egyptian Meteorological Authority</w:t>
      </w:r>
      <w:r>
        <w:rPr>
          <w:sz w:val="24"/>
          <w:szCs w:val="24"/>
        </w:rPr>
        <w:t>,</w:t>
      </w:r>
      <w:r w:rsidRPr="00005DF0">
        <w:rPr>
          <w:sz w:val="24"/>
          <w:szCs w:val="24"/>
        </w:rPr>
        <w:t xml:space="preserve"> </w:t>
      </w:r>
      <w:r w:rsidRPr="00FC15F8">
        <w:rPr>
          <w:sz w:val="24"/>
          <w:szCs w:val="24"/>
        </w:rPr>
        <w:t>Egypt</w:t>
      </w:r>
    </w:p>
    <w:p w:rsidR="00005DF0" w:rsidRDefault="00005DF0" w:rsidP="00005DF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:rsidR="00005DF0" w:rsidRDefault="00005DF0" w:rsidP="00005DF0">
      <w:pPr>
        <w:tabs>
          <w:tab w:val="left" w:pos="426"/>
          <w:tab w:val="left" w:pos="3990"/>
        </w:tabs>
        <w:spacing w:line="360" w:lineRule="auto"/>
        <w:ind w:left="-9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005DF0" w:rsidRDefault="00005DF0" w:rsidP="00005DF0">
      <w:pPr>
        <w:tabs>
          <w:tab w:val="left" w:pos="3990"/>
        </w:tabs>
        <w:spacing w:line="360" w:lineRule="auto"/>
        <w:ind w:left="-90"/>
        <w:jc w:val="both"/>
        <w:rPr>
          <w:rFonts w:ascii="Times New Roman" w:eastAsia="Times New Roman" w:hAnsi="Times New Roman" w:cs="Times New Roman"/>
          <w:spacing w:val="-2"/>
          <w:sz w:val="20"/>
          <w:szCs w:val="20"/>
        </w:rPr>
      </w:pPr>
      <w:r w:rsidRPr="0026581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Two eleven-year simulations were conducted to investigate the influence of two runoff schemes in the community land model version 4.5 (CLM45) on the Amazon surface energy balance and surface climate using a high resolution regional climate model (RegCM4-CLM45). The default scheme is TOPMODEL (TOP), while the alternative is Variable Infiltration Capacity (VIC). In </w:t>
      </w:r>
      <w:r w:rsidRPr="00265817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the</w:t>
      </w:r>
      <w:r w:rsidRPr="0026581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two simulations, the vegetation status is prescribed (Satellite phenology; SP). The first simulation was designated as SP-TOP, while the second simulation was referred to as SP-VIC, and both of them were evaluated using reanalysis products (e.g. ERA5) and micrometeorology data measurements. Results show that the SP-VIC severely underestimates latent heat and overestimates sensible heat fluxes, more than SP-TOP in comparison with the ERA5. This explains the large warm bias observed in the winter season. On the other hand, the SP-VIC shows a slightly smaller dry bias than SP-TOP against the Climate Research Unit (CRU) data. Our results show that SP-VIC does not improve the quality of the simulation compared to SP-TOP, which suggests the necessity of additional calibration of the VIC surface parameters using in-situ observations of the Amazon and revising the VIC runoff scheme to perform new sensitivity experiments. The same needs to be done with SP-TOP.</w:t>
      </w:r>
    </w:p>
    <w:p w:rsidR="00005DF0" w:rsidRPr="00005DF0" w:rsidRDefault="00005DF0" w:rsidP="00005DF0">
      <w:pPr>
        <w:tabs>
          <w:tab w:val="left" w:pos="426"/>
          <w:tab w:val="left" w:pos="3990"/>
        </w:tabs>
        <w:spacing w:line="360" w:lineRule="auto"/>
        <w:ind w:left="-9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5DF0">
        <w:rPr>
          <w:rFonts w:ascii="Times New Roman" w:eastAsia="Times New Roman" w:hAnsi="Times New Roman" w:cs="Times New Roman"/>
          <w:b/>
          <w:sz w:val="24"/>
          <w:szCs w:val="24"/>
        </w:rPr>
        <w:t>References: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005DF0">
        <w:rPr>
          <w:sz w:val="20"/>
          <w:szCs w:val="20"/>
        </w:rPr>
        <w:t xml:space="preserve">Anwar SA, </w:t>
      </w:r>
      <w:proofErr w:type="spellStart"/>
      <w:r w:rsidRPr="00005DF0">
        <w:rPr>
          <w:sz w:val="20"/>
          <w:szCs w:val="20"/>
        </w:rPr>
        <w:t>Zakey</w:t>
      </w:r>
      <w:proofErr w:type="spellEnd"/>
      <w:r w:rsidRPr="00005DF0">
        <w:rPr>
          <w:sz w:val="20"/>
          <w:szCs w:val="20"/>
        </w:rPr>
        <w:t xml:space="preserve"> AS, </w:t>
      </w:r>
      <w:proofErr w:type="spellStart"/>
      <w:r w:rsidRPr="00005DF0">
        <w:rPr>
          <w:sz w:val="20"/>
          <w:szCs w:val="20"/>
        </w:rPr>
        <w:t>Robaa</w:t>
      </w:r>
      <w:proofErr w:type="spellEnd"/>
      <w:r w:rsidRPr="00005DF0">
        <w:rPr>
          <w:sz w:val="20"/>
          <w:szCs w:val="20"/>
        </w:rPr>
        <w:t xml:space="preserve"> SM, </w:t>
      </w:r>
      <w:proofErr w:type="spellStart"/>
      <w:r w:rsidRPr="00005DF0">
        <w:rPr>
          <w:sz w:val="20"/>
          <w:szCs w:val="20"/>
        </w:rPr>
        <w:t>Wahab</w:t>
      </w:r>
      <w:proofErr w:type="spellEnd"/>
      <w:r w:rsidRPr="00005DF0">
        <w:rPr>
          <w:sz w:val="20"/>
          <w:szCs w:val="20"/>
        </w:rPr>
        <w:t xml:space="preserve"> MM (2019) The influence of two land-surface hydrology schemes on the regional climate of Africa using the RegCM4 model. </w:t>
      </w:r>
      <w:proofErr w:type="spellStart"/>
      <w:r w:rsidRPr="00005DF0">
        <w:rPr>
          <w:sz w:val="20"/>
          <w:szCs w:val="20"/>
        </w:rPr>
        <w:t>Theor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Appl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Climatol</w:t>
      </w:r>
      <w:proofErr w:type="spellEnd"/>
      <w:r w:rsidRPr="00005DF0">
        <w:rPr>
          <w:sz w:val="20"/>
          <w:szCs w:val="20"/>
        </w:rPr>
        <w:t xml:space="preserve"> 136: 1535. https://doi.org/10.1007/s00704-018-2556-8.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005DF0">
        <w:rPr>
          <w:sz w:val="20"/>
          <w:szCs w:val="20"/>
        </w:rPr>
        <w:t xml:space="preserve">Anwar SA (2019) </w:t>
      </w:r>
      <w:proofErr w:type="spellStart"/>
      <w:r w:rsidRPr="00005DF0">
        <w:rPr>
          <w:sz w:val="20"/>
          <w:szCs w:val="20"/>
        </w:rPr>
        <w:t>Theor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Appl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Climatol</w:t>
      </w:r>
      <w:proofErr w:type="spellEnd"/>
      <w:r w:rsidRPr="00005DF0">
        <w:rPr>
          <w:sz w:val="20"/>
          <w:szCs w:val="20"/>
        </w:rPr>
        <w:t xml:space="preserve"> 138:1219–1230. https://doi.org/10.1007/s00704-019-02885-x.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005DF0">
        <w:rPr>
          <w:sz w:val="20"/>
          <w:szCs w:val="20"/>
        </w:rPr>
        <w:t xml:space="preserve">Book of Mathematical </w:t>
      </w:r>
      <w:proofErr w:type="spellStart"/>
      <w:r w:rsidRPr="00005DF0">
        <w:rPr>
          <w:sz w:val="20"/>
          <w:szCs w:val="20"/>
        </w:rPr>
        <w:t>Modeling</w:t>
      </w:r>
      <w:proofErr w:type="spellEnd"/>
      <w:r w:rsidRPr="00005DF0">
        <w:rPr>
          <w:sz w:val="20"/>
          <w:szCs w:val="20"/>
        </w:rPr>
        <w:t xml:space="preserve"> of Real World Problems, Chapter 4, Nova Publisher, 2019.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05DF0">
        <w:rPr>
          <w:sz w:val="20"/>
          <w:szCs w:val="20"/>
        </w:rPr>
        <w:t xml:space="preserve">Anwar SA, </w:t>
      </w:r>
      <w:proofErr w:type="spellStart"/>
      <w:r w:rsidRPr="00005DF0">
        <w:rPr>
          <w:sz w:val="20"/>
          <w:szCs w:val="20"/>
        </w:rPr>
        <w:t>Diallo</w:t>
      </w:r>
      <w:proofErr w:type="spellEnd"/>
      <w:r w:rsidRPr="00005DF0">
        <w:rPr>
          <w:sz w:val="20"/>
          <w:szCs w:val="20"/>
        </w:rPr>
        <w:t xml:space="preserve"> I (2021) </w:t>
      </w:r>
      <w:proofErr w:type="gramStart"/>
      <w:r w:rsidRPr="00005DF0">
        <w:rPr>
          <w:sz w:val="20"/>
          <w:szCs w:val="20"/>
        </w:rPr>
        <w:t>The</w:t>
      </w:r>
      <w:proofErr w:type="gramEnd"/>
      <w:r w:rsidRPr="00005DF0">
        <w:rPr>
          <w:sz w:val="20"/>
          <w:szCs w:val="20"/>
        </w:rPr>
        <w:t xml:space="preserve"> influence of two land-surface hydrology schemes on the terrestrial carbon cycle of Africa: A regional climate model study. </w:t>
      </w:r>
      <w:proofErr w:type="spellStart"/>
      <w:r w:rsidRPr="00005DF0">
        <w:rPr>
          <w:sz w:val="20"/>
          <w:szCs w:val="20"/>
        </w:rPr>
        <w:t>Int</w:t>
      </w:r>
      <w:proofErr w:type="spellEnd"/>
      <w:r w:rsidRPr="00005DF0">
        <w:rPr>
          <w:sz w:val="20"/>
          <w:szCs w:val="20"/>
        </w:rPr>
        <w:t xml:space="preserve"> J </w:t>
      </w:r>
      <w:proofErr w:type="spellStart"/>
      <w:r w:rsidRPr="00005DF0">
        <w:rPr>
          <w:sz w:val="20"/>
          <w:szCs w:val="20"/>
        </w:rPr>
        <w:t>Climatol</w:t>
      </w:r>
      <w:proofErr w:type="spellEnd"/>
      <w:r w:rsidRPr="00005DF0">
        <w:rPr>
          <w:sz w:val="20"/>
          <w:szCs w:val="20"/>
        </w:rPr>
        <w:t xml:space="preserve">. </w:t>
      </w:r>
      <w:proofErr w:type="gramStart"/>
      <w:r w:rsidRPr="00005DF0">
        <w:rPr>
          <w:sz w:val="20"/>
          <w:szCs w:val="20"/>
        </w:rPr>
        <w:t>;41</w:t>
      </w:r>
      <w:proofErr w:type="gramEnd"/>
      <w:r w:rsidRPr="00005DF0">
        <w:rPr>
          <w:sz w:val="20"/>
          <w:szCs w:val="20"/>
        </w:rPr>
        <w:t xml:space="preserve"> (Suppl. 1):E1202–E1216. https://doi.org/10.1002/joc.6762.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Pr="00005DF0">
        <w:rPr>
          <w:sz w:val="20"/>
          <w:szCs w:val="20"/>
        </w:rPr>
        <w:t xml:space="preserve">Anwar SA (2021) </w:t>
      </w:r>
      <w:proofErr w:type="gramStart"/>
      <w:r w:rsidRPr="00005DF0">
        <w:rPr>
          <w:sz w:val="20"/>
          <w:szCs w:val="20"/>
        </w:rPr>
        <w:t>On</w:t>
      </w:r>
      <w:proofErr w:type="gramEnd"/>
      <w:r w:rsidRPr="00005DF0">
        <w:rPr>
          <w:sz w:val="20"/>
          <w:szCs w:val="20"/>
        </w:rPr>
        <w:t xml:space="preserve"> the contribution of dynamic leaf area index in simulating the African climate using a regional climate model (RegCM4). </w:t>
      </w:r>
      <w:proofErr w:type="spellStart"/>
      <w:proofErr w:type="gramStart"/>
      <w:r w:rsidRPr="00005DF0">
        <w:rPr>
          <w:sz w:val="20"/>
          <w:szCs w:val="20"/>
        </w:rPr>
        <w:t>Theor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Appl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Climatol</w:t>
      </w:r>
      <w:proofErr w:type="spellEnd"/>
      <w:r w:rsidRPr="00005DF0">
        <w:rPr>
          <w:sz w:val="20"/>
          <w:szCs w:val="20"/>
        </w:rPr>
        <w:t xml:space="preserve"> 143, 119–129; https://doi.org/10.1007/s00704-020-03414-x.</w:t>
      </w:r>
      <w:proofErr w:type="gramEnd"/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005DF0">
        <w:rPr>
          <w:sz w:val="20"/>
          <w:szCs w:val="20"/>
        </w:rPr>
        <w:t xml:space="preserve">Anwar SA, </w:t>
      </w:r>
      <w:proofErr w:type="spellStart"/>
      <w:r w:rsidRPr="00005DF0">
        <w:rPr>
          <w:sz w:val="20"/>
          <w:szCs w:val="20"/>
        </w:rPr>
        <w:t>Diallo</w:t>
      </w:r>
      <w:proofErr w:type="spellEnd"/>
      <w:r w:rsidRPr="00005DF0">
        <w:rPr>
          <w:sz w:val="20"/>
          <w:szCs w:val="20"/>
        </w:rPr>
        <w:t xml:space="preserve"> I (2021) </w:t>
      </w:r>
      <w:proofErr w:type="gramStart"/>
      <w:r w:rsidRPr="00005DF0">
        <w:rPr>
          <w:sz w:val="20"/>
          <w:szCs w:val="20"/>
        </w:rPr>
        <w:t>On</w:t>
      </w:r>
      <w:proofErr w:type="gramEnd"/>
      <w:r w:rsidRPr="00005DF0">
        <w:rPr>
          <w:sz w:val="20"/>
          <w:szCs w:val="20"/>
        </w:rPr>
        <w:t xml:space="preserve"> the role of a coupled vegetation-runoff system in simulating the tropical African climate: a regional climate model sensitivity study. </w:t>
      </w:r>
      <w:proofErr w:type="spellStart"/>
      <w:r w:rsidRPr="00005DF0">
        <w:rPr>
          <w:sz w:val="20"/>
          <w:szCs w:val="20"/>
        </w:rPr>
        <w:t>Theor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Appl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Climatol</w:t>
      </w:r>
      <w:proofErr w:type="spellEnd"/>
      <w:r w:rsidRPr="00005DF0">
        <w:rPr>
          <w:sz w:val="20"/>
          <w:szCs w:val="20"/>
        </w:rPr>
        <w:t xml:space="preserve"> 145, 313–325, https://doi.org/10.1007/s00704-021-03627-8. 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Pr="00005DF0">
        <w:rPr>
          <w:sz w:val="20"/>
          <w:szCs w:val="20"/>
        </w:rPr>
        <w:t xml:space="preserve">Anwar SA, </w:t>
      </w:r>
      <w:proofErr w:type="spellStart"/>
      <w:r w:rsidRPr="00005DF0">
        <w:rPr>
          <w:sz w:val="20"/>
          <w:szCs w:val="20"/>
        </w:rPr>
        <w:t>Diallo</w:t>
      </w:r>
      <w:proofErr w:type="spellEnd"/>
      <w:r w:rsidRPr="00005DF0">
        <w:rPr>
          <w:sz w:val="20"/>
          <w:szCs w:val="20"/>
        </w:rPr>
        <w:t xml:space="preserve"> I (2021) A RCM investigation of the influence of vegetation status and runoff scheme on the summer gross primary production of Tropical Africa. </w:t>
      </w:r>
      <w:proofErr w:type="spellStart"/>
      <w:r w:rsidRPr="00005DF0">
        <w:rPr>
          <w:sz w:val="20"/>
          <w:szCs w:val="20"/>
        </w:rPr>
        <w:t>Theor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Appl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Climatol</w:t>
      </w:r>
      <w:proofErr w:type="spellEnd"/>
      <w:r w:rsidRPr="00005DF0">
        <w:rPr>
          <w:sz w:val="20"/>
          <w:szCs w:val="20"/>
        </w:rPr>
        <w:t>, 145(3), 1407-1420, https://doi.org/10.1007/s00704-021-03667-0.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Pr="00005DF0">
        <w:rPr>
          <w:sz w:val="20"/>
          <w:szCs w:val="20"/>
        </w:rPr>
        <w:t xml:space="preserve">Anwar SA, </w:t>
      </w:r>
      <w:proofErr w:type="spellStart"/>
      <w:r w:rsidRPr="00005DF0">
        <w:rPr>
          <w:sz w:val="20"/>
          <w:szCs w:val="20"/>
        </w:rPr>
        <w:t>Mamadou</w:t>
      </w:r>
      <w:proofErr w:type="spellEnd"/>
      <w:r w:rsidRPr="00005DF0">
        <w:rPr>
          <w:sz w:val="20"/>
          <w:szCs w:val="20"/>
        </w:rPr>
        <w:t xml:space="preserve"> O, </w:t>
      </w:r>
      <w:proofErr w:type="spellStart"/>
      <w:r w:rsidRPr="00005DF0">
        <w:rPr>
          <w:sz w:val="20"/>
          <w:szCs w:val="20"/>
        </w:rPr>
        <w:t>Diallo</w:t>
      </w:r>
      <w:proofErr w:type="spellEnd"/>
      <w:r w:rsidRPr="00005DF0">
        <w:rPr>
          <w:sz w:val="20"/>
          <w:szCs w:val="20"/>
        </w:rPr>
        <w:t xml:space="preserve"> I, </w:t>
      </w:r>
      <w:proofErr w:type="spellStart"/>
      <w:r w:rsidRPr="00005DF0">
        <w:rPr>
          <w:sz w:val="20"/>
          <w:szCs w:val="20"/>
        </w:rPr>
        <w:t>Sylla</w:t>
      </w:r>
      <w:proofErr w:type="spellEnd"/>
      <w:r w:rsidRPr="00005DF0">
        <w:rPr>
          <w:sz w:val="20"/>
          <w:szCs w:val="20"/>
        </w:rPr>
        <w:t xml:space="preserve"> MB (2021) On the Influence of Vegetation Cover Changes and Vegetation-Runoff Systems on the Simulated Summer Potential Evapotranspiration of Tropical Africa Using RegCM4. Earth </w:t>
      </w:r>
      <w:proofErr w:type="spellStart"/>
      <w:r w:rsidRPr="00005DF0">
        <w:rPr>
          <w:sz w:val="20"/>
          <w:szCs w:val="20"/>
        </w:rPr>
        <w:t>Syst</w:t>
      </w:r>
      <w:proofErr w:type="spellEnd"/>
      <w:r w:rsidRPr="00005DF0">
        <w:rPr>
          <w:sz w:val="20"/>
          <w:szCs w:val="20"/>
        </w:rPr>
        <w:t xml:space="preserve"> Environ 5, 883–897, https://doi.org/10.1007/s41748-021-00252-3.</w:t>
      </w:r>
    </w:p>
    <w:p w:rsidR="00005DF0" w:rsidRP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 w:rsidRPr="00005DF0">
        <w:rPr>
          <w:sz w:val="20"/>
          <w:szCs w:val="20"/>
        </w:rPr>
        <w:t xml:space="preserve">Anwar SA, </w:t>
      </w:r>
      <w:proofErr w:type="spellStart"/>
      <w:r w:rsidRPr="00005DF0">
        <w:rPr>
          <w:sz w:val="20"/>
          <w:szCs w:val="20"/>
        </w:rPr>
        <w:t>Reboita</w:t>
      </w:r>
      <w:proofErr w:type="spellEnd"/>
      <w:r w:rsidRPr="00005DF0">
        <w:rPr>
          <w:sz w:val="20"/>
          <w:szCs w:val="20"/>
        </w:rPr>
        <w:t xml:space="preserve"> MS, </w:t>
      </w:r>
      <w:proofErr w:type="spellStart"/>
      <w:r w:rsidRPr="00005DF0">
        <w:rPr>
          <w:sz w:val="20"/>
          <w:szCs w:val="20"/>
        </w:rPr>
        <w:t>Llopart</w:t>
      </w:r>
      <w:proofErr w:type="spellEnd"/>
      <w:r w:rsidRPr="00005DF0">
        <w:rPr>
          <w:sz w:val="20"/>
          <w:szCs w:val="20"/>
        </w:rPr>
        <w:t xml:space="preserve"> M (2022) </w:t>
      </w:r>
      <w:proofErr w:type="gramStart"/>
      <w:r w:rsidRPr="00005DF0">
        <w:rPr>
          <w:sz w:val="20"/>
          <w:szCs w:val="20"/>
        </w:rPr>
        <w:t>On</w:t>
      </w:r>
      <w:proofErr w:type="gramEnd"/>
      <w:r w:rsidRPr="00005DF0">
        <w:rPr>
          <w:sz w:val="20"/>
          <w:szCs w:val="20"/>
        </w:rPr>
        <w:t xml:space="preserve"> the sensitivity of the Amazon Surface Climate to two land-surface hydrology schemes using a high-resolution regional climate model (RegCM4). </w:t>
      </w:r>
      <w:proofErr w:type="gramStart"/>
      <w:r w:rsidRPr="00005DF0">
        <w:rPr>
          <w:sz w:val="20"/>
          <w:szCs w:val="20"/>
        </w:rPr>
        <w:t xml:space="preserve">Int. J. </w:t>
      </w:r>
      <w:proofErr w:type="spellStart"/>
      <w:r w:rsidRPr="00005DF0">
        <w:rPr>
          <w:sz w:val="20"/>
          <w:szCs w:val="20"/>
        </w:rPr>
        <w:t>Climatol</w:t>
      </w:r>
      <w:proofErr w:type="spellEnd"/>
      <w:r w:rsidRPr="00005DF0">
        <w:rPr>
          <w:sz w:val="20"/>
          <w:szCs w:val="20"/>
        </w:rPr>
        <w:t>; 42(4), 2311–2327, https://doi.org/10.1002/joc.7367.</w:t>
      </w:r>
      <w:proofErr w:type="gramEnd"/>
      <w:r w:rsidRPr="00005DF0">
        <w:rPr>
          <w:sz w:val="20"/>
          <w:szCs w:val="20"/>
        </w:rPr>
        <w:t xml:space="preserve"> </w:t>
      </w:r>
    </w:p>
    <w:p w:rsidR="00005DF0" w:rsidRDefault="00005DF0" w:rsidP="00005DF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10. </w:t>
      </w:r>
      <w:r w:rsidRPr="00005DF0">
        <w:rPr>
          <w:sz w:val="20"/>
          <w:szCs w:val="20"/>
        </w:rPr>
        <w:t xml:space="preserve">Wang X, Chen D, Pang G, Anwar SA et al (2021) </w:t>
      </w:r>
      <w:proofErr w:type="gramStart"/>
      <w:r w:rsidRPr="00005DF0">
        <w:rPr>
          <w:sz w:val="20"/>
          <w:szCs w:val="20"/>
        </w:rPr>
        <w:t>Effects</w:t>
      </w:r>
      <w:proofErr w:type="gramEnd"/>
      <w:r w:rsidRPr="00005DF0">
        <w:rPr>
          <w:sz w:val="20"/>
          <w:szCs w:val="20"/>
        </w:rPr>
        <w:t xml:space="preserve"> of cumulus parameterization and land-surface hydrology schemes on Tibetan Plateau climate simulation during the wet season: insights from the RegCM4 model. </w:t>
      </w:r>
      <w:proofErr w:type="spellStart"/>
      <w:r w:rsidRPr="00005DF0">
        <w:rPr>
          <w:sz w:val="20"/>
          <w:szCs w:val="20"/>
        </w:rPr>
        <w:t>Clim</w:t>
      </w:r>
      <w:proofErr w:type="spellEnd"/>
      <w:r w:rsidRPr="00005DF0">
        <w:rPr>
          <w:sz w:val="20"/>
          <w:szCs w:val="20"/>
        </w:rPr>
        <w:t xml:space="preserve"> </w:t>
      </w:r>
      <w:proofErr w:type="spellStart"/>
      <w:r w:rsidRPr="00005DF0">
        <w:rPr>
          <w:sz w:val="20"/>
          <w:szCs w:val="20"/>
        </w:rPr>
        <w:t>Dyn</w:t>
      </w:r>
      <w:proofErr w:type="spellEnd"/>
      <w:r w:rsidRPr="00005DF0">
        <w:rPr>
          <w:sz w:val="20"/>
          <w:szCs w:val="20"/>
        </w:rPr>
        <w:t xml:space="preserve"> 57:1853–1879, </w:t>
      </w:r>
      <w:hyperlink r:id="rId5" w:history="1">
        <w:r w:rsidRPr="00963B22">
          <w:rPr>
            <w:rStyle w:val="Hyperlink"/>
            <w:sz w:val="20"/>
            <w:szCs w:val="20"/>
          </w:rPr>
          <w:t>https://doi.org/10.1007/s00382-021-05781-1</w:t>
        </w:r>
      </w:hyperlink>
      <w:r w:rsidRPr="00005DF0">
        <w:rPr>
          <w:sz w:val="20"/>
          <w:szCs w:val="20"/>
        </w:rPr>
        <w:t>.</w:t>
      </w:r>
    </w:p>
    <w:p w:rsidR="00005DF0" w:rsidRDefault="00005DF0" w:rsidP="00005DF0">
      <w:pPr>
        <w:pStyle w:val="NoSpacing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it-IT"/>
        </w:rPr>
      </w:pPr>
    </w:p>
    <w:p w:rsidR="00005DF0" w:rsidRDefault="00005DF0" w:rsidP="00005DF0">
      <w:pPr>
        <w:pStyle w:val="NoSpacing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it-IT"/>
        </w:rPr>
      </w:pPr>
      <w:r w:rsidRPr="00D9315D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it-IT"/>
        </w:rPr>
        <w:t>Biography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it-IT"/>
        </w:rPr>
        <w:t>:</w:t>
      </w:r>
    </w:p>
    <w:p w:rsidR="00005DF0" w:rsidRDefault="00005DF0" w:rsidP="00005DF0">
      <w:pPr>
        <w:tabs>
          <w:tab w:val="left" w:pos="3990"/>
        </w:tabs>
        <w:spacing w:line="360" w:lineRule="auto"/>
        <w:ind w:left="-90"/>
        <w:jc w:val="both"/>
        <w:rPr>
          <w:rFonts w:ascii="Times New Roman" w:eastAsia="Times New Roman" w:hAnsi="Times New Roman" w:cs="Times New Roman"/>
          <w:spacing w:val="-2"/>
          <w:sz w:val="20"/>
          <w:szCs w:val="20"/>
        </w:rPr>
      </w:pPr>
    </w:p>
    <w:p w:rsidR="00005DF0" w:rsidRDefault="00005DF0" w:rsidP="00005DF0">
      <w:pPr>
        <w:tabs>
          <w:tab w:val="left" w:pos="3990"/>
        </w:tabs>
        <w:spacing w:line="360" w:lineRule="auto"/>
        <w:ind w:left="-90"/>
        <w:jc w:val="both"/>
        <w:rPr>
          <w:rFonts w:ascii="Times New Roman" w:eastAsia="Times New Roman" w:hAnsi="Times New Roman" w:cs="Times New Roman"/>
          <w:spacing w:val="-2"/>
          <w:sz w:val="20"/>
          <w:szCs w:val="20"/>
        </w:rPr>
      </w:pPr>
      <w:r w:rsidRPr="00B15C7D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Dr. </w:t>
      </w:r>
      <w:proofErr w:type="spellStart"/>
      <w:r w:rsidRPr="00B15C7D">
        <w:rPr>
          <w:rFonts w:ascii="Times New Roman" w:eastAsia="Times New Roman" w:hAnsi="Times New Roman" w:cs="Times New Roman"/>
          <w:spacing w:val="-2"/>
          <w:sz w:val="20"/>
          <w:szCs w:val="20"/>
        </w:rPr>
        <w:t>Samy</w:t>
      </w:r>
      <w:proofErr w:type="spellEnd"/>
      <w:r w:rsidRPr="00B15C7D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Ashraf Anwar </w:t>
      </w:r>
      <w:proofErr w:type="spellStart"/>
      <w:r w:rsidRPr="00B15C7D">
        <w:rPr>
          <w:rFonts w:ascii="Times New Roman" w:eastAsia="Times New Roman" w:hAnsi="Times New Roman" w:cs="Times New Roman"/>
          <w:spacing w:val="-2"/>
          <w:sz w:val="20"/>
          <w:szCs w:val="20"/>
        </w:rPr>
        <w:t>Rateb</w:t>
      </w:r>
      <w:proofErr w:type="spellEnd"/>
      <w:r w:rsidRPr="00B15C7D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is a researcher in the research department of the Egyptian Meteorological Authority (EMA). His PhD degree is from Cairo University in collaboration with the International </w:t>
      </w:r>
      <w:proofErr w:type="spellStart"/>
      <w:r w:rsidRPr="00B15C7D">
        <w:rPr>
          <w:rFonts w:ascii="Times New Roman" w:eastAsia="Times New Roman" w:hAnsi="Times New Roman" w:cs="Times New Roman"/>
          <w:spacing w:val="-2"/>
          <w:sz w:val="20"/>
          <w:szCs w:val="20"/>
        </w:rPr>
        <w:t>Center</w:t>
      </w:r>
      <w:proofErr w:type="spellEnd"/>
      <w:r w:rsidRPr="00B15C7D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of Theoretical Physics (ICTP) through STEP program. His major research involves the role of land-surface processes in constraining the surface climate and terrestrial carbon cycle using a regional climate model (RegCM4). Also, his research involves calculation of the potential evapotranspiration of Egypt using RegCM4 model and ERA5 reanalysis product.</w:t>
      </w:r>
      <w:bookmarkStart w:id="0" w:name="_GoBack"/>
      <w:bookmarkEnd w:id="0"/>
    </w:p>
    <w:p w:rsidR="00005DF0" w:rsidRDefault="00005DF0" w:rsidP="00005DF0">
      <w:pPr>
        <w:pStyle w:val="NoSpacing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it-IT"/>
        </w:rPr>
      </w:pPr>
    </w:p>
    <w:p w:rsidR="00005DF0" w:rsidRPr="00005DF0" w:rsidRDefault="00005DF0" w:rsidP="00005DF0">
      <w:pPr>
        <w:pStyle w:val="NoSpacing"/>
        <w:rPr>
          <w:sz w:val="20"/>
          <w:szCs w:val="20"/>
        </w:rPr>
      </w:pPr>
    </w:p>
    <w:p w:rsidR="00005DF0" w:rsidRPr="00005DF0" w:rsidRDefault="00005DF0" w:rsidP="00005DF0">
      <w:pPr>
        <w:pStyle w:val="NoSpacing"/>
        <w:rPr>
          <w:sz w:val="24"/>
          <w:szCs w:val="24"/>
        </w:rPr>
      </w:pPr>
      <w:r w:rsidRPr="00005DF0">
        <w:rPr>
          <w:sz w:val="24"/>
          <w:szCs w:val="24"/>
        </w:rPr>
        <w:t xml:space="preserve">                                </w:t>
      </w:r>
    </w:p>
    <w:p w:rsidR="00620F46" w:rsidRDefault="00620F46"/>
    <w:p w:rsidR="00F50541" w:rsidRDefault="00F50541"/>
    <w:sectPr w:rsidR="00F50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41"/>
    <w:rsid w:val="00005DF0"/>
    <w:rsid w:val="00620F46"/>
    <w:rsid w:val="00F5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41"/>
    <w:rPr>
      <w:rFonts w:ascii="Calibri" w:eastAsia="Calibri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DF0"/>
    <w:pPr>
      <w:spacing w:after="0" w:line="240" w:lineRule="auto"/>
    </w:pPr>
    <w:rPr>
      <w:rFonts w:ascii="Calibri" w:eastAsia="Calibri" w:hAnsi="Calibri" w:cs="Calibri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5D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41"/>
    <w:rPr>
      <w:rFonts w:ascii="Calibri" w:eastAsia="Calibri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DF0"/>
    <w:pPr>
      <w:spacing w:after="0" w:line="240" w:lineRule="auto"/>
    </w:pPr>
    <w:rPr>
      <w:rFonts w:ascii="Calibri" w:eastAsia="Calibri" w:hAnsi="Calibri" w:cs="Calibri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5D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07/s00382-021-05781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2022-12-02T06:18:00Z</dcterms:created>
  <dcterms:modified xsi:type="dcterms:W3CDTF">2022-12-02T06:47:00Z</dcterms:modified>
</cp:coreProperties>
</file>