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7D8" w:rsidRDefault="003217D8" w:rsidP="00E04DFF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3217D8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Differential expression of </w:t>
      </w:r>
      <w:proofErr w:type="spellStart"/>
      <w:r w:rsidRPr="003217D8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sema</w:t>
      </w:r>
      <w:proofErr w:type="spellEnd"/>
      <w:r w:rsidRPr="003217D8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4C and </w:t>
      </w:r>
      <w:proofErr w:type="spellStart"/>
      <w:r w:rsidRPr="003217D8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sema</w:t>
      </w:r>
      <w:proofErr w:type="spellEnd"/>
      <w:r w:rsidRPr="003217D8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3F in the hippocampus and anterior temporal lobe (ATL) of </w:t>
      </w:r>
      <w:proofErr w:type="spellStart"/>
      <w:r w:rsidRPr="003217D8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pilocarpine</w:t>
      </w:r>
      <w:proofErr w:type="spellEnd"/>
      <w:r w:rsidRPr="003217D8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model of temporal lobe epilepsy</w:t>
      </w:r>
    </w:p>
    <w:p w:rsidR="003217D8" w:rsidRDefault="003217D8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217D8">
        <w:rPr>
          <w:rFonts w:ascii="Times New Roman" w:hAnsi="Times New Roman" w:cs="Times New Roman"/>
          <w:sz w:val="24"/>
          <w:szCs w:val="24"/>
        </w:rPr>
        <w:t>Vivek</w:t>
      </w:r>
      <w:proofErr w:type="spellEnd"/>
      <w:r w:rsidRPr="00321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7D8">
        <w:rPr>
          <w:rFonts w:ascii="Times New Roman" w:hAnsi="Times New Roman" w:cs="Times New Roman"/>
          <w:sz w:val="24"/>
          <w:szCs w:val="24"/>
        </w:rPr>
        <w:t>Dubey</w:t>
      </w:r>
      <w:proofErr w:type="spellEnd"/>
      <w:r w:rsidRPr="003217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7D8" w:rsidRDefault="003217D8" w:rsidP="003217D8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3217D8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All India Institute of Medical Sciences, New Delhi </w:t>
      </w:r>
    </w:p>
    <w:p w:rsidR="00691AAB" w:rsidRPr="00E04DFF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3217D8" w:rsidRDefault="003217D8" w:rsidP="003217D8">
      <w:pPr>
        <w:shd w:val="clear" w:color="auto" w:fill="FFFFFF"/>
        <w:spacing w:before="450" w:after="450"/>
        <w:jc w:val="both"/>
        <w:outlineLvl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F41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Introduction</w:t>
      </w:r>
      <w:proofErr w:type="spellEnd"/>
      <w:r w:rsidRPr="00CF41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Epilepsy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is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chronic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neurological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disease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introduced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as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fourth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most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common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neurological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disorder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affecting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about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65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million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people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worldwide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Temporal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lobe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epilepsy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(TLE), a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distributed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network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disorder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is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most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common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form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drug-resi</w:t>
      </w:r>
      <w:bookmarkStart w:id="0" w:name="_GoBack"/>
      <w:bookmarkEnd w:id="0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stant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epilepsy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and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termination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of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epileptic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seizures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primarily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takes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place in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hippocampus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in TLE. In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this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study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we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set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out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to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investigate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role of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semaphorins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(SEMA 3F and SEMA 4C) in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hippocampus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and anterior temporal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lobe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(ATL) of TLE </w:t>
      </w:r>
      <w:proofErr w:type="spellStart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rats</w:t>
      </w:r>
      <w:proofErr w:type="spellEnd"/>
      <w:r w:rsidRPr="00A974F4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3217D8" w:rsidRDefault="003217D8" w:rsidP="003217D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C6D5D">
        <w:rPr>
          <w:rFonts w:ascii="Times New Roman" w:hAnsi="Times New Roman" w:cs="Times New Roman"/>
          <w:b/>
          <w:bCs/>
          <w:sz w:val="24"/>
          <w:szCs w:val="24"/>
        </w:rPr>
        <w:t>Methods</w:t>
      </w:r>
      <w:proofErr w:type="spellEnd"/>
      <w:r w:rsidRPr="000C6D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C6D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For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this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study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the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hippocampus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and anterior temporal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lobe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from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8 TLE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model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rats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, 8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controls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rats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were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included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A974F4">
        <w:rPr>
          <w:rFonts w:ascii="Times New Roman" w:eastAsia="Calibri" w:hAnsi="Times New Roman" w:cs="Times New Roman"/>
          <w:sz w:val="20"/>
          <w:szCs w:val="20"/>
        </w:rPr>
        <w:t>mRNA</w:t>
      </w:r>
      <w:proofErr w:type="spellEnd"/>
      <w:proofErr w:type="gram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levels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of SEMA 3F and SEMA 4C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were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evaluated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by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quantitative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real-time PCR.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Immunohistochemistry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was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performed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to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evaluate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the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expression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of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these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eastAsia="Calibri" w:hAnsi="Times New Roman" w:cs="Times New Roman"/>
          <w:sz w:val="20"/>
          <w:szCs w:val="20"/>
        </w:rPr>
        <w:t>proteins</w:t>
      </w:r>
      <w:proofErr w:type="spellEnd"/>
      <w:r w:rsidRPr="00A974F4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91AAB" w:rsidRPr="00E04DFF" w:rsidRDefault="00691AAB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691AAB" w:rsidRPr="00E04DFF" w:rsidRDefault="003217D8" w:rsidP="00E04DFF">
      <w:pPr>
        <w:pStyle w:val="BodyText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4F4">
        <w:rPr>
          <w:rFonts w:ascii="Times New Roman" w:eastAsia="Calibri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614C133" wp14:editId="1544B19F">
            <wp:extent cx="5731510" cy="1095748"/>
            <wp:effectExtent l="0" t="0" r="2540" b="952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95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7D8" w:rsidRDefault="003217D8" w:rsidP="00E04DFF">
      <w:pPr>
        <w:pStyle w:val="BodyText"/>
        <w:spacing w:after="200" w:line="276" w:lineRule="auto"/>
        <w:jc w:val="both"/>
        <w:rPr>
          <w:rFonts w:ascii="Times New Roman" w:eastAsiaTheme="minorHAnsi" w:hAnsi="Times New Roman" w:cs="Times New Roman"/>
          <w:b/>
          <w:i/>
          <w:szCs w:val="24"/>
          <w:lang w:val="en-IN"/>
        </w:rPr>
      </w:pPr>
      <w:proofErr w:type="gramStart"/>
      <w:r w:rsidRPr="003217D8">
        <w:rPr>
          <w:rFonts w:ascii="Times New Roman" w:eastAsiaTheme="minorHAnsi" w:hAnsi="Times New Roman" w:cs="Times New Roman"/>
          <w:b/>
          <w:i/>
          <w:szCs w:val="24"/>
          <w:lang w:val="en-IN"/>
        </w:rPr>
        <w:t>Figure 1.</w:t>
      </w:r>
      <w:proofErr w:type="gramEnd"/>
      <w:r w:rsidRPr="003217D8">
        <w:rPr>
          <w:rFonts w:ascii="Times New Roman" w:eastAsiaTheme="minorHAnsi" w:hAnsi="Times New Roman" w:cs="Times New Roman"/>
          <w:b/>
          <w:i/>
          <w:szCs w:val="24"/>
          <w:lang w:val="en-IN"/>
        </w:rPr>
        <w:t xml:space="preserve"> </w:t>
      </w:r>
      <w:proofErr w:type="spellStart"/>
      <w:proofErr w:type="gramStart"/>
      <w:r w:rsidRPr="003217D8">
        <w:rPr>
          <w:rFonts w:ascii="Times New Roman" w:eastAsiaTheme="minorHAnsi" w:hAnsi="Times New Roman" w:cs="Times New Roman"/>
          <w:i/>
          <w:szCs w:val="24"/>
          <w:lang w:val="en-IN"/>
        </w:rPr>
        <w:t>imescale</w:t>
      </w:r>
      <w:proofErr w:type="spellEnd"/>
      <w:proofErr w:type="gramEnd"/>
      <w:r w:rsidRPr="003217D8">
        <w:rPr>
          <w:rFonts w:ascii="Times New Roman" w:eastAsiaTheme="minorHAnsi" w:hAnsi="Times New Roman" w:cs="Times New Roman"/>
          <w:i/>
          <w:szCs w:val="24"/>
          <w:lang w:val="en-IN"/>
        </w:rPr>
        <w:t xml:space="preserve"> for creation of lithium–</w:t>
      </w:r>
      <w:proofErr w:type="spellStart"/>
      <w:r w:rsidRPr="003217D8">
        <w:rPr>
          <w:rFonts w:ascii="Times New Roman" w:eastAsiaTheme="minorHAnsi" w:hAnsi="Times New Roman" w:cs="Times New Roman"/>
          <w:i/>
          <w:szCs w:val="24"/>
          <w:lang w:val="en-IN"/>
        </w:rPr>
        <w:t>pilocarpine</w:t>
      </w:r>
      <w:proofErr w:type="spellEnd"/>
      <w:r w:rsidRPr="003217D8">
        <w:rPr>
          <w:rFonts w:ascii="Times New Roman" w:eastAsiaTheme="minorHAnsi" w:hAnsi="Times New Roman" w:cs="Times New Roman"/>
          <w:i/>
          <w:szCs w:val="24"/>
          <w:lang w:val="en-IN"/>
        </w:rPr>
        <w:t xml:space="preserve"> model of status </w:t>
      </w:r>
      <w:proofErr w:type="spellStart"/>
      <w:r w:rsidRPr="003217D8">
        <w:rPr>
          <w:rFonts w:ascii="Times New Roman" w:eastAsiaTheme="minorHAnsi" w:hAnsi="Times New Roman" w:cs="Times New Roman"/>
          <w:i/>
          <w:szCs w:val="24"/>
          <w:lang w:val="en-IN"/>
        </w:rPr>
        <w:t>epilepticus</w:t>
      </w:r>
      <w:proofErr w:type="spellEnd"/>
      <w:r w:rsidRPr="003217D8">
        <w:rPr>
          <w:rFonts w:ascii="Times New Roman" w:eastAsiaTheme="minorHAnsi" w:hAnsi="Times New Roman" w:cs="Times New Roman"/>
          <w:i/>
          <w:szCs w:val="24"/>
          <w:lang w:val="en-IN"/>
        </w:rPr>
        <w:t xml:space="preserve">. (B.W.: bodyweight). </w:t>
      </w:r>
    </w:p>
    <w:p w:rsidR="004C7576" w:rsidRPr="006440CD" w:rsidRDefault="004C7576" w:rsidP="004C757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Result</w:t>
      </w:r>
      <w:r w:rsidRPr="000C6D5D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Pr="000C6D5D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up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regulation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of 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mRNA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level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of SEMA4C 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observed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hippocampus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(2.47±0.93,</w:t>
      </w:r>
      <w:r w:rsidRPr="00A974F4">
        <w:rPr>
          <w:rFonts w:ascii="Times New Roman" w:hAnsi="Times New Roman" w:cs="Times New Roman"/>
          <w:sz w:val="20"/>
          <w:szCs w:val="20"/>
          <w:lang w:val="en-IN"/>
        </w:rPr>
        <w:t xml:space="preserve"> P = &lt;0.001</w:t>
      </w:r>
      <w:r w:rsidRPr="00A974F4">
        <w:rPr>
          <w:rFonts w:ascii="Times New Roman" w:hAnsi="Times New Roman" w:cs="Times New Roman"/>
          <w:sz w:val="20"/>
          <w:szCs w:val="20"/>
        </w:rPr>
        <w:t xml:space="preserve">) and ATL (4.00±2.14, </w:t>
      </w:r>
      <w:r w:rsidRPr="00A974F4">
        <w:rPr>
          <w:rFonts w:ascii="Times New Roman" w:hAnsi="Times New Roman" w:cs="Times New Roman"/>
          <w:sz w:val="20"/>
          <w:szCs w:val="20"/>
          <w:lang w:val="en-IN"/>
        </w:rPr>
        <w:t>P = &lt;0.014</w:t>
      </w:r>
      <w:r w:rsidRPr="00A974F4">
        <w:rPr>
          <w:rFonts w:ascii="Times New Roman" w:hAnsi="Times New Roman" w:cs="Times New Roman"/>
          <w:sz w:val="20"/>
          <w:szCs w:val="20"/>
        </w:rPr>
        <w:t xml:space="preserve">) of TLE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model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compared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control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rats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Similarly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, SEMA3F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mRNA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expression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also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increased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hippocampus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(3.35±1.14,</w:t>
      </w:r>
      <w:r w:rsidRPr="00A974F4">
        <w:rPr>
          <w:rFonts w:ascii="Times New Roman" w:hAnsi="Times New Roman" w:cs="Times New Roman"/>
          <w:sz w:val="20"/>
          <w:szCs w:val="20"/>
          <w:lang w:val="en-IN"/>
        </w:rPr>
        <w:t xml:space="preserve"> P = &lt;0.001</w:t>
      </w:r>
      <w:r w:rsidRPr="00A974F4">
        <w:rPr>
          <w:rFonts w:ascii="Times New Roman" w:hAnsi="Times New Roman" w:cs="Times New Roman"/>
          <w:sz w:val="20"/>
          <w:szCs w:val="20"/>
        </w:rPr>
        <w:t xml:space="preserve">) and ATL (4.78±2.00, </w:t>
      </w:r>
      <w:r w:rsidRPr="00A974F4">
        <w:rPr>
          <w:rFonts w:ascii="Times New Roman" w:hAnsi="Times New Roman" w:cs="Times New Roman"/>
          <w:sz w:val="20"/>
          <w:szCs w:val="20"/>
          <w:lang w:val="en-IN"/>
        </w:rPr>
        <w:t>P = &lt;0.012</w:t>
      </w:r>
      <w:r w:rsidRPr="00A974F4">
        <w:rPr>
          <w:rFonts w:ascii="Times New Roman" w:hAnsi="Times New Roman" w:cs="Times New Roman"/>
          <w:sz w:val="20"/>
          <w:szCs w:val="20"/>
        </w:rPr>
        <w:t xml:space="preserve">)  of TLE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rat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model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compared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control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rats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. 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Immunohistochemical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expression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of SEMA3F and SEMA4C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also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upregulation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proteins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hippocampus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and ATL  of TLE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model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compared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control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rats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>.</w:t>
      </w:r>
    </w:p>
    <w:p w:rsidR="004C7576" w:rsidRPr="000C6D5D" w:rsidRDefault="004C7576" w:rsidP="004C757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6D5D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proofErr w:type="spellEnd"/>
      <w:r w:rsidRPr="000C6D5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We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first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time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demonstrated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significant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changes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in SEMA3F and SEMA4C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expression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pilocarpine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model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epilepsy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providing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rationale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conducting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further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exploratory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studies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better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understand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role of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semaphorin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mediated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974F4">
        <w:rPr>
          <w:rFonts w:ascii="Times New Roman" w:hAnsi="Times New Roman" w:cs="Times New Roman"/>
          <w:sz w:val="20"/>
          <w:szCs w:val="20"/>
        </w:rPr>
        <w:t>mechanism</w:t>
      </w:r>
      <w:proofErr w:type="spellEnd"/>
      <w:r w:rsidRPr="00A974F4">
        <w:rPr>
          <w:rFonts w:ascii="Times New Roman" w:hAnsi="Times New Roman" w:cs="Times New Roman"/>
          <w:sz w:val="20"/>
          <w:szCs w:val="20"/>
        </w:rPr>
        <w:t xml:space="preserve"> in </w:t>
      </w:r>
      <w:proofErr w:type="gramStart"/>
      <w:r w:rsidRPr="00A974F4">
        <w:rPr>
          <w:rFonts w:ascii="Times New Roman" w:hAnsi="Times New Roman" w:cs="Times New Roman"/>
          <w:sz w:val="20"/>
          <w:szCs w:val="20"/>
        </w:rPr>
        <w:t>TLE .</w:t>
      </w:r>
      <w:proofErr w:type="gramEnd"/>
    </w:p>
    <w:p w:rsidR="00691AAB" w:rsidRPr="00E04DFF" w:rsidRDefault="00691AAB" w:rsidP="00E04DF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4C7576" w:rsidRPr="00A974F4" w:rsidRDefault="004C7576" w:rsidP="004C7576">
      <w:pPr>
        <w:pStyle w:val="ListParagraph"/>
        <w:numPr>
          <w:ilvl w:val="0"/>
          <w:numId w:val="3"/>
        </w:numPr>
        <w:tabs>
          <w:tab w:val="left" w:pos="384"/>
        </w:tabs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r w:rsidRPr="00A974F4">
        <w:rPr>
          <w:rFonts w:asciiTheme="minorHAnsi" w:hAnsiTheme="minorHAnsi" w:cstheme="minorHAnsi"/>
          <w:bCs/>
          <w:sz w:val="20"/>
          <w:szCs w:val="20"/>
        </w:rPr>
        <w:t xml:space="preserve">Banerjee, J., Banerjee Dixit, A.,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Srivastava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, A.,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Ramanujam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, B.,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Kakkar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, A.,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Sarkar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, C.,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Tripathi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, M., &amp; Chandra, P. S. (2017). Altered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glutamatergic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 tone reveals two distinct resting state networks at the cellular level in hippocampal sclerosis. </w:t>
      </w:r>
      <w:r w:rsidRPr="00A974F4">
        <w:rPr>
          <w:rFonts w:asciiTheme="minorHAnsi" w:hAnsiTheme="minorHAnsi" w:cstheme="minorHAnsi"/>
          <w:bCs/>
          <w:i/>
          <w:iCs/>
          <w:sz w:val="20"/>
          <w:szCs w:val="20"/>
        </w:rPr>
        <w:t>Scientific reports</w:t>
      </w:r>
      <w:r w:rsidRPr="00A974F4">
        <w:rPr>
          <w:rFonts w:asciiTheme="minorHAnsi" w:hAnsiTheme="minorHAnsi" w:cstheme="minorHAnsi"/>
          <w:bCs/>
          <w:sz w:val="20"/>
          <w:szCs w:val="20"/>
        </w:rPr>
        <w:t>, </w:t>
      </w:r>
      <w:r w:rsidRPr="00A974F4">
        <w:rPr>
          <w:rFonts w:asciiTheme="minorHAnsi" w:hAnsiTheme="minorHAnsi" w:cstheme="minorHAnsi"/>
          <w:bCs/>
          <w:i/>
          <w:iCs/>
          <w:sz w:val="20"/>
          <w:szCs w:val="20"/>
        </w:rPr>
        <w:t>7</w:t>
      </w:r>
      <w:r w:rsidRPr="00A974F4">
        <w:rPr>
          <w:rFonts w:asciiTheme="minorHAnsi" w:hAnsiTheme="minorHAnsi" w:cstheme="minorHAnsi"/>
          <w:bCs/>
          <w:sz w:val="20"/>
          <w:szCs w:val="20"/>
        </w:rPr>
        <w:t xml:space="preserve">(1), 319. </w:t>
      </w:r>
      <w:hyperlink r:id="rId8" w:history="1">
        <w:r w:rsidRPr="00A974F4">
          <w:rPr>
            <w:rStyle w:val="Hyperlink"/>
            <w:rFonts w:asciiTheme="minorHAnsi" w:hAnsiTheme="minorHAnsi" w:cstheme="minorHAnsi"/>
            <w:bCs/>
            <w:sz w:val="20"/>
            <w:szCs w:val="20"/>
          </w:rPr>
          <w:t>https://doi.org/10.1038/s41598-017-00358</w:t>
        </w:r>
      </w:hyperlink>
    </w:p>
    <w:p w:rsidR="004C7576" w:rsidRPr="00A974F4" w:rsidRDefault="004C7576" w:rsidP="004C7576">
      <w:pPr>
        <w:pStyle w:val="ListParagraph"/>
        <w:numPr>
          <w:ilvl w:val="0"/>
          <w:numId w:val="3"/>
        </w:numPr>
        <w:tabs>
          <w:tab w:val="left" w:pos="384"/>
        </w:tabs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r w:rsidRPr="00A974F4">
        <w:rPr>
          <w:rFonts w:asciiTheme="minorHAnsi" w:hAnsiTheme="minorHAnsi" w:cstheme="minorHAnsi"/>
          <w:bCs/>
          <w:sz w:val="20"/>
          <w:szCs w:val="20"/>
        </w:rPr>
        <w:lastRenderedPageBreak/>
        <w:t>Banerjee J et al., (2014)</w:t>
      </w:r>
      <w:r w:rsidRPr="00A974F4">
        <w:rPr>
          <w:rFonts w:asciiTheme="minorHAnsi" w:hAnsiTheme="minorHAnsi" w:cstheme="minorHAnsi"/>
          <w:bCs/>
          <w:sz w:val="20"/>
          <w:szCs w:val="20"/>
          <w:lang w:val="en-IN"/>
        </w:rPr>
        <w:t xml:space="preserve">. </w:t>
      </w:r>
      <w:r w:rsidRPr="00A974F4">
        <w:rPr>
          <w:rFonts w:asciiTheme="minorHAnsi" w:hAnsiTheme="minorHAnsi" w:cstheme="minorHAnsi"/>
          <w:bCs/>
          <w:i/>
          <w:iCs/>
          <w:sz w:val="20"/>
          <w:szCs w:val="20"/>
          <w:lang w:val="en-IN"/>
        </w:rPr>
        <w:t>Annals of Indian Academy of Neurology</w:t>
      </w:r>
      <w:r w:rsidRPr="00A974F4">
        <w:rPr>
          <w:rFonts w:asciiTheme="minorHAnsi" w:hAnsiTheme="minorHAnsi" w:cstheme="minorHAnsi"/>
          <w:bCs/>
          <w:sz w:val="20"/>
          <w:szCs w:val="20"/>
          <w:lang w:val="en-IN"/>
        </w:rPr>
        <w:t>. 17, 134-140</w:t>
      </w:r>
    </w:p>
    <w:p w:rsidR="004C7576" w:rsidRPr="00A974F4" w:rsidRDefault="004C7576" w:rsidP="004C7576">
      <w:pPr>
        <w:pStyle w:val="ListParagraph"/>
        <w:numPr>
          <w:ilvl w:val="0"/>
          <w:numId w:val="3"/>
        </w:numPr>
        <w:tabs>
          <w:tab w:val="left" w:pos="384"/>
        </w:tabs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Dubey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, V.,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Dey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, S., Dixit, A. B.,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Tripathi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, M., Chandra, P. S., &amp; Banerjee, J. (2022). Differential glutamate receptor expression and function in the hippocampus, anterior temporal lobe and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neocortex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 in a </w:t>
      </w:r>
      <w:proofErr w:type="spellStart"/>
      <w:r w:rsidRPr="00A974F4">
        <w:rPr>
          <w:rFonts w:asciiTheme="minorHAnsi" w:hAnsiTheme="minorHAnsi" w:cstheme="minorHAnsi"/>
          <w:bCs/>
          <w:sz w:val="20"/>
          <w:szCs w:val="20"/>
        </w:rPr>
        <w:t>pilocarpine</w:t>
      </w:r>
      <w:proofErr w:type="spellEnd"/>
      <w:r w:rsidRPr="00A974F4">
        <w:rPr>
          <w:rFonts w:asciiTheme="minorHAnsi" w:hAnsiTheme="minorHAnsi" w:cstheme="minorHAnsi"/>
          <w:bCs/>
          <w:sz w:val="20"/>
          <w:szCs w:val="20"/>
        </w:rPr>
        <w:t xml:space="preserve"> model of temporal lobe epilepsy. </w:t>
      </w:r>
      <w:r w:rsidRPr="00A974F4">
        <w:rPr>
          <w:rFonts w:asciiTheme="minorHAnsi" w:hAnsiTheme="minorHAnsi" w:cstheme="minorHAnsi"/>
          <w:bCs/>
          <w:i/>
          <w:iCs/>
          <w:sz w:val="20"/>
          <w:szCs w:val="20"/>
        </w:rPr>
        <w:t>Experimental neurology</w:t>
      </w:r>
      <w:r w:rsidRPr="00A974F4">
        <w:rPr>
          <w:rFonts w:asciiTheme="minorHAnsi" w:hAnsiTheme="minorHAnsi" w:cstheme="minorHAnsi"/>
          <w:bCs/>
          <w:sz w:val="20"/>
          <w:szCs w:val="20"/>
        </w:rPr>
        <w:t>, </w:t>
      </w:r>
      <w:r w:rsidRPr="00A974F4">
        <w:rPr>
          <w:rFonts w:asciiTheme="minorHAnsi" w:hAnsiTheme="minorHAnsi" w:cstheme="minorHAnsi"/>
          <w:bCs/>
          <w:i/>
          <w:iCs/>
          <w:sz w:val="20"/>
          <w:szCs w:val="20"/>
        </w:rPr>
        <w:t>347</w:t>
      </w:r>
      <w:r w:rsidRPr="00A974F4">
        <w:rPr>
          <w:rFonts w:asciiTheme="minorHAnsi" w:hAnsiTheme="minorHAnsi" w:cstheme="minorHAnsi"/>
          <w:bCs/>
          <w:sz w:val="20"/>
          <w:szCs w:val="20"/>
        </w:rPr>
        <w:t>, 113916. https://doi.org/10.1016/j.expneurol.2021.113916</w:t>
      </w:r>
      <w:r w:rsidRPr="00A974F4">
        <w:rPr>
          <w:rFonts w:asciiTheme="minorHAnsi" w:hAnsiTheme="minorHAnsi" w:cstheme="minorHAnsi"/>
          <w:bCs/>
          <w:sz w:val="20"/>
          <w:szCs w:val="20"/>
          <w:lang w:val="en-IN"/>
        </w:rPr>
        <w:t xml:space="preserve"> </w:t>
      </w:r>
    </w:p>
    <w:p w:rsidR="004C7576" w:rsidRPr="00A974F4" w:rsidRDefault="004C7576" w:rsidP="004C7576">
      <w:pPr>
        <w:pStyle w:val="ListParagraph"/>
        <w:numPr>
          <w:ilvl w:val="0"/>
          <w:numId w:val="3"/>
        </w:numPr>
        <w:tabs>
          <w:tab w:val="left" w:pos="384"/>
        </w:tabs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proofErr w:type="spellStart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>Dey</w:t>
      </w:r>
      <w:proofErr w:type="spellEnd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 xml:space="preserve"> S, </w:t>
      </w:r>
      <w:proofErr w:type="spellStart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>Dubey</w:t>
      </w:r>
      <w:proofErr w:type="spellEnd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 xml:space="preserve"> V, Dixit AB, </w:t>
      </w:r>
      <w:proofErr w:type="spellStart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>Tripathi</w:t>
      </w:r>
      <w:proofErr w:type="spellEnd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 xml:space="preserve"> M, Chandra PS, Banerjee J. Differential Levels of Tryptophan–</w:t>
      </w:r>
      <w:proofErr w:type="spellStart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>Kynurenine</w:t>
      </w:r>
      <w:proofErr w:type="spellEnd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 xml:space="preserve"> Pathway Metabolites in the Hippocampus, Anterior Temporal Lobe, and </w:t>
      </w:r>
      <w:proofErr w:type="spellStart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>Neocortex</w:t>
      </w:r>
      <w:proofErr w:type="spellEnd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 xml:space="preserve"> in an Animal Model of Temporal Lobe Epilepsy. </w:t>
      </w:r>
      <w:r w:rsidRPr="00A974F4">
        <w:rPr>
          <w:rFonts w:asciiTheme="minorHAnsi" w:hAnsiTheme="minorHAnsi" w:cstheme="minorHAnsi"/>
          <w:i/>
          <w:iCs/>
          <w:color w:val="212121"/>
          <w:sz w:val="20"/>
          <w:szCs w:val="20"/>
          <w:shd w:val="clear" w:color="auto" w:fill="FFFFFF"/>
        </w:rPr>
        <w:t>Cells</w:t>
      </w:r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>. 2022</w:t>
      </w:r>
      <w:proofErr w:type="gramStart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>;11</w:t>
      </w:r>
      <w:proofErr w:type="gramEnd"/>
      <w:r w:rsidRPr="00A974F4">
        <w:rPr>
          <w:rFonts w:asciiTheme="minorHAnsi" w:hAnsiTheme="minorHAnsi" w:cstheme="minorHAnsi"/>
          <w:color w:val="212121"/>
          <w:sz w:val="20"/>
          <w:szCs w:val="20"/>
          <w:shd w:val="clear" w:color="auto" w:fill="FFFFFF"/>
        </w:rPr>
        <w:t>(22):3560. Published 2022 Nov 10. doi:10.3390/cells1122356</w:t>
      </w:r>
    </w:p>
    <w:p w:rsidR="004C7576" w:rsidRPr="00A974F4" w:rsidRDefault="004C7576" w:rsidP="004C7576">
      <w:pPr>
        <w:pStyle w:val="ListParagraph"/>
        <w:numPr>
          <w:ilvl w:val="0"/>
          <w:numId w:val="4"/>
        </w:numPr>
        <w:tabs>
          <w:tab w:val="left" w:pos="384"/>
        </w:tabs>
        <w:spacing w:after="200" w:line="276" w:lineRule="auto"/>
        <w:rPr>
          <w:rFonts w:ascii="Times New Roman" w:hAnsi="Times New Roman" w:cs="Times New Roman"/>
          <w:sz w:val="20"/>
          <w:szCs w:val="24"/>
        </w:rPr>
      </w:pPr>
      <w:r w:rsidRPr="00A974F4">
        <w:rPr>
          <w:rFonts w:ascii="Times New Roman" w:hAnsi="Times New Roman" w:cs="Times New Roman"/>
          <w:b/>
          <w:bCs/>
          <w:sz w:val="20"/>
          <w:szCs w:val="24"/>
        </w:rPr>
        <w:t>Funded by-DBT(</w:t>
      </w:r>
      <w:r w:rsidRPr="00A974F4">
        <w:rPr>
          <w:rFonts w:ascii="Times New Roman" w:hAnsi="Times New Roman" w:cs="Times New Roman"/>
          <w:sz w:val="20"/>
          <w:szCs w:val="24"/>
        </w:rPr>
        <w:t>BT/PR20392/MED/122/26/2016)</w:t>
      </w:r>
      <w:r w:rsidRPr="00A974F4">
        <w:rPr>
          <w:rFonts w:ascii="Times New Roman" w:hAnsi="Times New Roman" w:cs="Times New Roman"/>
          <w:sz w:val="20"/>
          <w:szCs w:val="24"/>
          <w:lang w:val="en-IN"/>
        </w:rPr>
        <w:t xml:space="preserve"> </w:t>
      </w:r>
    </w:p>
    <w:p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4C7576" w:rsidRPr="00084AB2" w:rsidRDefault="004C7576" w:rsidP="004C7576">
      <w:pPr>
        <w:tabs>
          <w:tab w:val="left" w:pos="38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084AB2">
        <w:rPr>
          <w:rFonts w:ascii="Times New Roman" w:hAnsi="Times New Roman" w:cs="Times New Roman"/>
          <w:sz w:val="24"/>
          <w:szCs w:val="24"/>
        </w:rPr>
        <w:t>Vivek</w:t>
      </w:r>
      <w:proofErr w:type="spellEnd"/>
      <w:r w:rsidRPr="00084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AB2">
        <w:rPr>
          <w:rFonts w:ascii="Times New Roman" w:hAnsi="Times New Roman" w:cs="Times New Roman"/>
          <w:sz w:val="24"/>
          <w:szCs w:val="24"/>
        </w:rPr>
        <w:t>Dubey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Final </w:t>
      </w:r>
      <w:proofErr w:type="spellStart"/>
      <w:r>
        <w:rPr>
          <w:rFonts w:ascii="Times New Roman" w:hAnsi="Times New Roman" w:cs="Times New Roman"/>
          <w:sz w:val="24"/>
          <w:szCs w:val="24"/>
        </w:rPr>
        <w:t>year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PhD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 AIIMS, new Delhi, India. He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master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neuroscience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neuroscience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Gwalior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JU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MP india 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Graduate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Banaras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Hindu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(BHU)</w:t>
      </w:r>
    </w:p>
    <w:p w:rsidR="00EB7307" w:rsidRPr="00270966" w:rsidRDefault="00EB7307" w:rsidP="004C757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1676E5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3217D8"/>
    <w:rsid w:val="003979B5"/>
    <w:rsid w:val="004A6532"/>
    <w:rsid w:val="004C7576"/>
    <w:rsid w:val="00524CE0"/>
    <w:rsid w:val="005F485E"/>
    <w:rsid w:val="00691AAB"/>
    <w:rsid w:val="007245CF"/>
    <w:rsid w:val="0076000C"/>
    <w:rsid w:val="00861368"/>
    <w:rsid w:val="008D1CE9"/>
    <w:rsid w:val="008D2886"/>
    <w:rsid w:val="008E33CD"/>
    <w:rsid w:val="00AB1CA2"/>
    <w:rsid w:val="00AB22C7"/>
    <w:rsid w:val="00B82905"/>
    <w:rsid w:val="00CE0E06"/>
    <w:rsid w:val="00E04DFF"/>
    <w:rsid w:val="00EB7307"/>
    <w:rsid w:val="00F24E9E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4C75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4C75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8/s41598-017-00358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73343-641A-4E7B-95E4-432830388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gayathri</cp:lastModifiedBy>
  <cp:revision>3</cp:revision>
  <dcterms:created xsi:type="dcterms:W3CDTF">2022-12-07T10:06:00Z</dcterms:created>
  <dcterms:modified xsi:type="dcterms:W3CDTF">2022-12-07T10:07:00Z</dcterms:modified>
</cp:coreProperties>
</file>