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C17" w:rsidRPr="009C0C17" w:rsidRDefault="009C0C17" w:rsidP="009C0C17">
      <w:pPr>
        <w:ind w:firstLine="709"/>
        <w:jc w:val="both"/>
        <w:rPr>
          <w:rFonts w:ascii="Times New Roman" w:hAnsi="Times New Roman" w:cs="Times New Roman"/>
          <w:color w:val="00B0F0"/>
          <w:sz w:val="24"/>
          <w:szCs w:val="24"/>
        </w:rPr>
      </w:pPr>
      <w:r w:rsidRPr="009C0C17">
        <w:rPr>
          <w:rFonts w:ascii="Times New Roman" w:hAnsi="Times New Roman" w:cs="Times New Roman"/>
          <w:color w:val="00B0F0"/>
          <w:sz w:val="24"/>
          <w:szCs w:val="24"/>
        </w:rPr>
        <w:t>DELAYED INFLAMMATORY REACTIONS: IS THERE A RELATIONSHIP WITH TRANSFERRED VIRUS INFECTIONS DURING THE USE OF HYALURONIC FILLERS.</w:t>
      </w:r>
    </w:p>
    <w:p w:rsidR="009C0C17" w:rsidRPr="003C7062" w:rsidRDefault="009C0C17" w:rsidP="009C0C17">
      <w:pPr>
        <w:ind w:firstLine="709"/>
        <w:jc w:val="both"/>
        <w:rPr>
          <w:rFonts w:ascii="Times New Roman" w:hAnsi="Times New Roman" w:cs="Times New Roman"/>
          <w:sz w:val="24"/>
          <w:szCs w:val="24"/>
        </w:rPr>
      </w:pPr>
      <w:proofErr w:type="spellStart"/>
      <w:r>
        <w:rPr>
          <w:rFonts w:ascii="Times New Roman" w:hAnsi="Times New Roman" w:cs="Times New Roman"/>
          <w:sz w:val="24"/>
          <w:szCs w:val="24"/>
        </w:rPr>
        <w:t>Natallia</w:t>
      </w:r>
      <w:proofErr w:type="spellEnd"/>
      <w:r>
        <w:rPr>
          <w:rFonts w:ascii="Times New Roman" w:hAnsi="Times New Roman" w:cs="Times New Roman"/>
          <w:sz w:val="24"/>
          <w:szCs w:val="24"/>
        </w:rPr>
        <w:t xml:space="preserve"> Kruk, MD, PhD, Minsk, Belarus</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p>
    <w:p w:rsidR="009C0C17" w:rsidRPr="00A86648" w:rsidRDefault="009C0C17" w:rsidP="009C0C17">
      <w:pPr>
        <w:ind w:firstLine="709"/>
        <w:jc w:val="both"/>
        <w:rPr>
          <w:rFonts w:ascii="Times New Roman" w:hAnsi="Times New Roman" w:cs="Times New Roman"/>
          <w:sz w:val="24"/>
          <w:szCs w:val="24"/>
        </w:rPr>
      </w:pPr>
      <w:r w:rsidRPr="00A86648">
        <w:rPr>
          <w:rFonts w:ascii="Times New Roman" w:hAnsi="Times New Roman" w:cs="Times New Roman"/>
          <w:sz w:val="24"/>
          <w:szCs w:val="24"/>
        </w:rPr>
        <w:t xml:space="preserve">The use of hyaluronic acid-based fillers today is one of the most sought-after and popular procedures in aesthetic cosmetology, both among doctors and patients. According to the International Society of Aesthetic Plastic Surgery (ISAPS), in 2019, 4,315,859 procedures </w:t>
      </w:r>
      <w:proofErr w:type="gramStart"/>
      <w:r w:rsidRPr="00A86648">
        <w:rPr>
          <w:rFonts w:ascii="Times New Roman" w:hAnsi="Times New Roman" w:cs="Times New Roman"/>
          <w:sz w:val="24"/>
          <w:szCs w:val="24"/>
        </w:rPr>
        <w:t>were performed</w:t>
      </w:r>
      <w:proofErr w:type="gramEnd"/>
      <w:r w:rsidRPr="00A86648">
        <w:rPr>
          <w:rFonts w:ascii="Times New Roman" w:hAnsi="Times New Roman" w:cs="Times New Roman"/>
          <w:sz w:val="24"/>
          <w:szCs w:val="24"/>
        </w:rPr>
        <w:t xml:space="preserve"> using hyaluronic fillers. </w:t>
      </w:r>
      <w:proofErr w:type="gramStart"/>
      <w:r w:rsidRPr="00A86648">
        <w:rPr>
          <w:rFonts w:ascii="Times New Roman" w:hAnsi="Times New Roman" w:cs="Times New Roman"/>
          <w:sz w:val="24"/>
          <w:szCs w:val="24"/>
        </w:rPr>
        <w:t xml:space="preserve">Modern technologies for the production of fillers based on HA make it possible to bring their properties as close as possible to the ideal parameters of efficiency and predictability of behavior in tissues, to ensure a long-term aesthetic result in the correction of age-related changes and aesthetic defects, which is possible only due to safety, lack of migration, extremely low </w:t>
      </w:r>
      <w:proofErr w:type="spellStart"/>
      <w:r w:rsidRPr="00A86648">
        <w:rPr>
          <w:rFonts w:ascii="Times New Roman" w:hAnsi="Times New Roman" w:cs="Times New Roman"/>
          <w:sz w:val="24"/>
          <w:szCs w:val="24"/>
        </w:rPr>
        <w:t>allergenicity</w:t>
      </w:r>
      <w:proofErr w:type="spellEnd"/>
      <w:r w:rsidRPr="00A86648">
        <w:rPr>
          <w:rFonts w:ascii="Times New Roman" w:hAnsi="Times New Roman" w:cs="Times New Roman"/>
          <w:sz w:val="24"/>
          <w:szCs w:val="24"/>
        </w:rPr>
        <w:t>, non-immunogenicity and the absence of carcinogenic risks.</w:t>
      </w:r>
      <w:proofErr w:type="gramEnd"/>
      <w:r w:rsidRPr="00A86648">
        <w:rPr>
          <w:rFonts w:ascii="Times New Roman" w:hAnsi="Times New Roman" w:cs="Times New Roman"/>
          <w:sz w:val="24"/>
          <w:szCs w:val="24"/>
        </w:rPr>
        <w:t xml:space="preserve"> However, despite the rapidly developing technologies for the production of fillers, today among them there is no one that would fully satisfy all the requirements. Complications of the use of fillers are rare, but continue to </w:t>
      </w:r>
      <w:proofErr w:type="gramStart"/>
      <w:r w:rsidRPr="00A86648">
        <w:rPr>
          <w:rFonts w:ascii="Times New Roman" w:hAnsi="Times New Roman" w:cs="Times New Roman"/>
          <w:sz w:val="24"/>
          <w:szCs w:val="24"/>
        </w:rPr>
        <w:t>be observed</w:t>
      </w:r>
      <w:proofErr w:type="gramEnd"/>
      <w:r w:rsidRPr="00A86648">
        <w:rPr>
          <w:rFonts w:ascii="Times New Roman" w:hAnsi="Times New Roman" w:cs="Times New Roman"/>
          <w:sz w:val="24"/>
          <w:szCs w:val="24"/>
        </w:rPr>
        <w:t>, and therefore there is a need for a detailed study of the etiology and pathogenesis of their occurrence.</w:t>
      </w:r>
    </w:p>
    <w:p w:rsidR="009C0C17" w:rsidRPr="00A86648" w:rsidRDefault="009C0C17" w:rsidP="009C0C17">
      <w:pPr>
        <w:ind w:firstLine="709"/>
        <w:jc w:val="both"/>
        <w:rPr>
          <w:rFonts w:ascii="Times New Roman" w:hAnsi="Times New Roman" w:cs="Times New Roman"/>
          <w:sz w:val="24"/>
          <w:szCs w:val="24"/>
        </w:rPr>
      </w:pPr>
      <w:r w:rsidRPr="00A86648">
        <w:rPr>
          <w:rFonts w:ascii="Times New Roman" w:hAnsi="Times New Roman" w:cs="Times New Roman"/>
          <w:sz w:val="24"/>
          <w:szCs w:val="24"/>
        </w:rPr>
        <w:t>COVID-19 has made adjustments not only to the protocols for the treatment of general somatic pathology, but also to approaches to cosmetic correction.</w:t>
      </w:r>
    </w:p>
    <w:p w:rsidR="009C0C17" w:rsidRPr="00A86648" w:rsidRDefault="009C0C17" w:rsidP="009C0C17">
      <w:pPr>
        <w:ind w:firstLine="709"/>
        <w:jc w:val="both"/>
        <w:rPr>
          <w:rFonts w:ascii="Times New Roman" w:hAnsi="Times New Roman" w:cs="Times New Roman"/>
          <w:sz w:val="24"/>
          <w:szCs w:val="24"/>
        </w:rPr>
      </w:pPr>
      <w:r w:rsidRPr="00A86648">
        <w:rPr>
          <w:rFonts w:ascii="Times New Roman" w:hAnsi="Times New Roman" w:cs="Times New Roman"/>
          <w:sz w:val="24"/>
          <w:szCs w:val="24"/>
        </w:rPr>
        <w:t>The most common complications in working with fillers that are associated with past viral and / or bacterial infections are distant inflammatory reactions or edema at the injection site of the hyaluronic filler; migrating edema; granulomas; accelerated biodegradation of the filler.</w:t>
      </w:r>
    </w:p>
    <w:p w:rsidR="009C0C17" w:rsidRPr="00A86648" w:rsidRDefault="009C0C17" w:rsidP="009C0C17">
      <w:pPr>
        <w:ind w:firstLine="709"/>
        <w:jc w:val="both"/>
        <w:rPr>
          <w:rFonts w:ascii="Times New Roman" w:hAnsi="Times New Roman" w:cs="Times New Roman"/>
          <w:sz w:val="24"/>
          <w:szCs w:val="24"/>
        </w:rPr>
      </w:pPr>
      <w:r w:rsidRPr="00A86648">
        <w:rPr>
          <w:rFonts w:ascii="Times New Roman" w:hAnsi="Times New Roman" w:cs="Times New Roman"/>
          <w:sz w:val="24"/>
          <w:szCs w:val="24"/>
        </w:rPr>
        <w:t xml:space="preserve">Delayed inflammatory reactions (DIR) are of particular clinical interest due to the unpredictability of their occurrence, the tendency to recurrence, the difficulties of differential diagnosis, the lack of a clear understanding of pathogenesis, and frequent resistance to various types of therapy. The etiology, pathogenesis, provoking factors for the occurrence of DIR on HA fillers today remain not fully understood. </w:t>
      </w:r>
      <w:proofErr w:type="gramStart"/>
      <w:r w:rsidRPr="00A86648">
        <w:rPr>
          <w:rFonts w:ascii="Times New Roman" w:hAnsi="Times New Roman" w:cs="Times New Roman"/>
          <w:sz w:val="24"/>
          <w:szCs w:val="24"/>
        </w:rPr>
        <w:t>More and more researchers note the possible trigger role of such factors as infections, traumatization, vaccination, antibodies to HA or to biological impurities in the composition of fillers, immune reactions to filler degradation products, reaction to a cross-linking agent, features of the injection technique (repeated injection into one and the same the same area, large volume of filler, intramuscular injection), as well as poor quality of preparations.</w:t>
      </w:r>
      <w:proofErr w:type="gramEnd"/>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tbl>
      <w:tblPr>
        <w:tblStyle w:val="ad"/>
        <w:tblW w:w="0" w:type="auto"/>
        <w:tblLook w:val="04A0" w:firstRow="1" w:lastRow="0" w:firstColumn="1" w:lastColumn="0" w:noHBand="0" w:noVBand="1"/>
      </w:tblPr>
      <w:tblGrid>
        <w:gridCol w:w="1939"/>
        <w:gridCol w:w="1848"/>
      </w:tblGrid>
      <w:tr w:rsidR="009C0C17" w:rsidTr="00CE3470">
        <w:tc>
          <w:tcPr>
            <w:tcW w:w="1836" w:type="dxa"/>
          </w:tcPr>
          <w:p w:rsidR="009C0C17" w:rsidRDefault="00CE3470">
            <w:pPr>
              <w:pStyle w:val="a3"/>
              <w:spacing w:before="2"/>
              <w:rPr>
                <w:rFonts w:ascii="Arial"/>
                <w:b/>
                <w:sz w:val="16"/>
              </w:rPr>
            </w:pPr>
            <w:r>
              <w:rPr>
                <w:rFonts w:ascii="Arial"/>
                <w:b/>
                <w:noProof/>
                <w:sz w:val="16"/>
                <w:lang w:val="ru-RU" w:eastAsia="ru-RU"/>
              </w:rPr>
              <w:drawing>
                <wp:inline distT="0" distB="0" distL="0" distR="0" wp14:anchorId="618DEF92">
                  <wp:extent cx="1094509" cy="11582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907" cy="1159719"/>
                          </a:xfrm>
                          <a:prstGeom prst="rect">
                            <a:avLst/>
                          </a:prstGeom>
                          <a:noFill/>
                        </pic:spPr>
                      </pic:pic>
                    </a:graphicData>
                  </a:graphic>
                </wp:inline>
              </w:drawing>
            </w:r>
          </w:p>
        </w:tc>
        <w:tc>
          <w:tcPr>
            <w:tcW w:w="1848" w:type="dxa"/>
          </w:tcPr>
          <w:p w:rsidR="009C0C17" w:rsidRDefault="00CE3470">
            <w:pPr>
              <w:pStyle w:val="a3"/>
              <w:spacing w:before="2"/>
              <w:rPr>
                <w:rFonts w:ascii="Arial"/>
                <w:b/>
                <w:sz w:val="16"/>
              </w:rPr>
            </w:pPr>
            <w:r>
              <w:rPr>
                <w:rFonts w:ascii="Arial"/>
                <w:b/>
                <w:noProof/>
                <w:sz w:val="16"/>
                <w:lang w:val="ru-RU" w:eastAsia="ru-RU"/>
              </w:rPr>
              <w:drawing>
                <wp:inline distT="0" distB="0" distL="0" distR="0" wp14:anchorId="060EE737">
                  <wp:extent cx="1036320" cy="11582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694" cy="1158658"/>
                          </a:xfrm>
                          <a:prstGeom prst="rect">
                            <a:avLst/>
                          </a:prstGeom>
                          <a:noFill/>
                        </pic:spPr>
                      </pic:pic>
                    </a:graphicData>
                  </a:graphic>
                </wp:inline>
              </w:drawing>
            </w:r>
          </w:p>
        </w:tc>
      </w:tr>
    </w:tbl>
    <w:p w:rsidR="009C0C17" w:rsidRDefault="009C0C17">
      <w:pPr>
        <w:pStyle w:val="a3"/>
        <w:spacing w:before="2"/>
        <w:rPr>
          <w:rFonts w:ascii="Arial"/>
          <w:b/>
          <w:sz w:val="16"/>
        </w:rPr>
      </w:pPr>
    </w:p>
    <w:p w:rsidR="00CE3470" w:rsidRDefault="00CE3470" w:rsidP="005973B9">
      <w:pPr>
        <w:spacing w:line="204" w:lineRule="exact"/>
        <w:rPr>
          <w:rFonts w:ascii="Times New Roman" w:hAnsi="Times New Roman" w:cs="Times New Roman"/>
          <w:b/>
          <w:color w:val="E36C0A" w:themeColor="accent6" w:themeShade="BF"/>
          <w:sz w:val="24"/>
          <w:szCs w:val="24"/>
        </w:rPr>
      </w:pPr>
      <w:r>
        <w:rPr>
          <w:rFonts w:ascii="Arial"/>
          <w:b/>
          <w:color w:val="BF5A14"/>
          <w:sz w:val="20"/>
        </w:rPr>
        <w:t>Picture 1</w:t>
      </w:r>
      <w:r w:rsidRPr="00CE3470">
        <w:rPr>
          <w:rFonts w:ascii="Arial"/>
          <w:b/>
          <w:color w:val="BF5A14"/>
          <w:sz w:val="20"/>
        </w:rPr>
        <w:t xml:space="preserve">: </w:t>
      </w:r>
      <w:r w:rsidRPr="00CE3470">
        <w:rPr>
          <w:rFonts w:ascii="Arial"/>
          <w:b/>
          <w:color w:val="E36C0A" w:themeColor="accent6" w:themeShade="BF"/>
          <w:sz w:val="20"/>
        </w:rPr>
        <w:t xml:space="preserve">Clinical cases with </w:t>
      </w:r>
      <w:r w:rsidRPr="00CE3470">
        <w:rPr>
          <w:rFonts w:ascii="Times New Roman" w:hAnsi="Times New Roman" w:cs="Times New Roman"/>
          <w:b/>
          <w:color w:val="E36C0A" w:themeColor="accent6" w:themeShade="BF"/>
          <w:sz w:val="24"/>
          <w:szCs w:val="24"/>
        </w:rPr>
        <w:t>delayed inflammatory reactions</w:t>
      </w:r>
    </w:p>
    <w:p w:rsidR="005973B9" w:rsidRDefault="005973B9" w:rsidP="005973B9">
      <w:pPr>
        <w:spacing w:line="204" w:lineRule="exact"/>
        <w:rPr>
          <w:rFonts w:ascii="Arial"/>
          <w:b/>
          <w:sz w:val="20"/>
        </w:rPr>
      </w:pPr>
      <w:r w:rsidRPr="00CE3470">
        <w:rPr>
          <w:rFonts w:ascii="Arial"/>
          <w:b/>
          <w:color w:val="E36C0A" w:themeColor="accent6" w:themeShade="BF"/>
          <w:sz w:val="20"/>
        </w:rPr>
        <w:br/>
      </w:r>
      <w:r>
        <w:rPr>
          <w:rFonts w:ascii="Arial"/>
          <w:b/>
          <w:color w:val="BF5A14"/>
          <w:sz w:val="20"/>
        </w:rPr>
        <w:t xml:space="preserve">Recent Publications </w:t>
      </w:r>
    </w:p>
    <w:p w:rsidR="009C0C17" w:rsidRPr="00CE3470" w:rsidRDefault="009C0C17" w:rsidP="00CE3470">
      <w:pPr>
        <w:pStyle w:val="a5"/>
        <w:numPr>
          <w:ilvl w:val="0"/>
          <w:numId w:val="4"/>
        </w:numPr>
        <w:rPr>
          <w:rFonts w:ascii="Times New Roman" w:hAnsi="Times New Roman" w:cs="Times New Roman"/>
        </w:rPr>
      </w:pPr>
      <w:proofErr w:type="spellStart"/>
      <w:r w:rsidRPr="00CE3470">
        <w:rPr>
          <w:rFonts w:ascii="Times New Roman" w:hAnsi="Times New Roman" w:cs="Times New Roman"/>
          <w:shd w:val="clear" w:color="auto" w:fill="FFFFFF"/>
        </w:rPr>
        <w:t>Ikonnikova</w:t>
      </w:r>
      <w:proofErr w:type="spellEnd"/>
      <w:r w:rsidRPr="00CE3470">
        <w:rPr>
          <w:rFonts w:ascii="Times New Roman" w:hAnsi="Times New Roman" w:cs="Times New Roman"/>
          <w:shd w:val="clear" w:color="auto" w:fill="FFFFFF"/>
        </w:rPr>
        <w:t xml:space="preserve"> E.V., </w:t>
      </w:r>
      <w:proofErr w:type="spellStart"/>
      <w:r w:rsidRPr="00CE3470">
        <w:rPr>
          <w:rFonts w:ascii="Times New Roman" w:hAnsi="Times New Roman" w:cs="Times New Roman"/>
          <w:shd w:val="clear" w:color="auto" w:fill="FFFFFF"/>
        </w:rPr>
        <w:t>Gensler</w:t>
      </w:r>
      <w:proofErr w:type="spellEnd"/>
      <w:r w:rsidRPr="00CE3470">
        <w:rPr>
          <w:rFonts w:ascii="Times New Roman" w:hAnsi="Times New Roman" w:cs="Times New Roman"/>
          <w:shd w:val="clear" w:color="auto" w:fill="FFFFFF"/>
        </w:rPr>
        <w:t xml:space="preserve"> E.M. Problems of injection cosmetology: review of complications and methods for their correction. </w:t>
      </w:r>
      <w:r w:rsidRPr="00CE3470">
        <w:rPr>
          <w:rFonts w:ascii="Times New Roman" w:hAnsi="Times New Roman" w:cs="Times New Roman"/>
          <w:i/>
          <w:iCs/>
          <w:shd w:val="clear" w:color="auto" w:fill="FFFFFF"/>
        </w:rPr>
        <w:t>Medical alphabet</w:t>
      </w:r>
      <w:r w:rsidRPr="00CE3470">
        <w:rPr>
          <w:rFonts w:ascii="Times New Roman" w:hAnsi="Times New Roman" w:cs="Times New Roman"/>
          <w:shd w:val="clear" w:color="auto" w:fill="FFFFFF"/>
        </w:rPr>
        <w:t xml:space="preserve">. </w:t>
      </w:r>
      <w:proofErr w:type="gramStart"/>
      <w:r w:rsidRPr="00CE3470">
        <w:rPr>
          <w:rFonts w:ascii="Times New Roman" w:hAnsi="Times New Roman" w:cs="Times New Roman"/>
          <w:shd w:val="clear" w:color="auto" w:fill="FFFFFF"/>
        </w:rPr>
        <w:t>2020;</w:t>
      </w:r>
      <w:proofErr w:type="gramEnd"/>
      <w:r w:rsidRPr="00CE3470">
        <w:rPr>
          <w:rFonts w:ascii="Times New Roman" w:hAnsi="Times New Roman" w:cs="Times New Roman"/>
          <w:shd w:val="clear" w:color="auto" w:fill="FFFFFF"/>
        </w:rPr>
        <w:t>(6):79-82. (In Russ.) </w:t>
      </w:r>
      <w:hyperlink r:id="rId10" w:tgtFrame="_blank" w:history="1">
        <w:r w:rsidRPr="00CE3470">
          <w:rPr>
            <w:rStyle w:val="ac"/>
            <w:rFonts w:ascii="Times New Roman" w:hAnsi="Times New Roman" w:cs="Times New Roman"/>
            <w:color w:val="auto"/>
            <w:shd w:val="clear" w:color="auto" w:fill="FFFFFF"/>
          </w:rPr>
          <w:t>https://doi.org/10.33667/2078-5631-2020-6-79-82</w:t>
        </w:r>
      </w:hyperlink>
    </w:p>
    <w:p w:rsidR="009C0C17" w:rsidRPr="00CE3470" w:rsidRDefault="009C0C17" w:rsidP="00CE3470">
      <w:pPr>
        <w:pStyle w:val="a5"/>
        <w:numPr>
          <w:ilvl w:val="0"/>
          <w:numId w:val="4"/>
        </w:numPr>
        <w:rPr>
          <w:rFonts w:ascii="Times New Roman" w:hAnsi="Times New Roman" w:cs="Times New Roman"/>
        </w:rPr>
      </w:pPr>
      <w:proofErr w:type="spellStart"/>
      <w:r w:rsidRPr="00CE3470">
        <w:rPr>
          <w:rFonts w:ascii="Times New Roman" w:hAnsi="Times New Roman" w:cs="Times New Roman"/>
        </w:rPr>
        <w:t>Bondarenko</w:t>
      </w:r>
      <w:proofErr w:type="spellEnd"/>
      <w:r w:rsidRPr="00CE3470">
        <w:rPr>
          <w:rFonts w:ascii="Times New Roman" w:hAnsi="Times New Roman" w:cs="Times New Roman"/>
        </w:rPr>
        <w:t xml:space="preserve"> I.N. High-resolution ultrasonic diagnostics in post-contouring </w:t>
      </w:r>
      <w:proofErr w:type="spellStart"/>
      <w:r w:rsidRPr="00CE3470">
        <w:rPr>
          <w:rFonts w:ascii="Times New Roman" w:hAnsi="Times New Roman" w:cs="Times New Roman"/>
        </w:rPr>
        <w:t>oedema</w:t>
      </w:r>
      <w:proofErr w:type="spellEnd"/>
      <w:r w:rsidRPr="00CE3470">
        <w:rPr>
          <w:rFonts w:ascii="Times New Roman" w:hAnsi="Times New Roman" w:cs="Times New Roman"/>
        </w:rPr>
        <w:t xml:space="preserve">. </w:t>
      </w:r>
      <w:proofErr w:type="spellStart"/>
      <w:r w:rsidRPr="00CE3470">
        <w:rPr>
          <w:rFonts w:ascii="Times New Roman" w:hAnsi="Times New Roman" w:cs="Times New Roman"/>
        </w:rPr>
        <w:t>Kubanskii</w:t>
      </w:r>
      <w:proofErr w:type="spellEnd"/>
      <w:r w:rsidRPr="00CE3470">
        <w:rPr>
          <w:rFonts w:ascii="Times New Roman" w:hAnsi="Times New Roman" w:cs="Times New Roman"/>
        </w:rPr>
        <w:t xml:space="preserve"> </w:t>
      </w:r>
      <w:proofErr w:type="spellStart"/>
      <w:r w:rsidRPr="00CE3470">
        <w:rPr>
          <w:rFonts w:ascii="Times New Roman" w:hAnsi="Times New Roman" w:cs="Times New Roman"/>
        </w:rPr>
        <w:t>Nauchnyi</w:t>
      </w:r>
      <w:proofErr w:type="spellEnd"/>
      <w:r w:rsidRPr="00CE3470">
        <w:rPr>
          <w:rFonts w:ascii="Times New Roman" w:hAnsi="Times New Roman" w:cs="Times New Roman"/>
        </w:rPr>
        <w:t xml:space="preserve"> </w:t>
      </w:r>
      <w:proofErr w:type="spellStart"/>
      <w:r w:rsidRPr="00CE3470">
        <w:rPr>
          <w:rFonts w:ascii="Times New Roman" w:hAnsi="Times New Roman" w:cs="Times New Roman"/>
        </w:rPr>
        <w:t>Meditsinskii</w:t>
      </w:r>
      <w:proofErr w:type="spellEnd"/>
      <w:r w:rsidRPr="00CE3470">
        <w:rPr>
          <w:rFonts w:ascii="Times New Roman" w:hAnsi="Times New Roman" w:cs="Times New Roman"/>
        </w:rPr>
        <w:t xml:space="preserve"> </w:t>
      </w:r>
      <w:proofErr w:type="spellStart"/>
      <w:r w:rsidRPr="00CE3470">
        <w:rPr>
          <w:rFonts w:ascii="Times New Roman" w:hAnsi="Times New Roman" w:cs="Times New Roman"/>
        </w:rPr>
        <w:t>Vestnik</w:t>
      </w:r>
      <w:proofErr w:type="spellEnd"/>
      <w:r w:rsidRPr="00CE3470">
        <w:rPr>
          <w:rFonts w:ascii="Times New Roman" w:hAnsi="Times New Roman" w:cs="Times New Roman"/>
        </w:rPr>
        <w:t xml:space="preserve">. </w:t>
      </w:r>
      <w:proofErr w:type="gramStart"/>
      <w:r w:rsidRPr="00CE3470">
        <w:rPr>
          <w:rFonts w:ascii="Times New Roman" w:hAnsi="Times New Roman" w:cs="Times New Roman"/>
        </w:rPr>
        <w:t>2021</w:t>
      </w:r>
      <w:proofErr w:type="gramEnd"/>
      <w:r w:rsidRPr="00CE3470">
        <w:rPr>
          <w:rFonts w:ascii="Times New Roman" w:hAnsi="Times New Roman" w:cs="Times New Roman"/>
        </w:rPr>
        <w:t>; 28(1): 32–42. (In Russ., English abstract).</w:t>
      </w:r>
    </w:p>
    <w:p w:rsidR="009C0C17" w:rsidRPr="00CE3470" w:rsidRDefault="009C0C17" w:rsidP="00CE3470">
      <w:pPr>
        <w:pStyle w:val="a5"/>
        <w:numPr>
          <w:ilvl w:val="0"/>
          <w:numId w:val="4"/>
        </w:numPr>
        <w:rPr>
          <w:rFonts w:ascii="Times New Roman" w:hAnsi="Times New Roman" w:cs="Times New Roman"/>
        </w:rPr>
      </w:pPr>
      <w:proofErr w:type="spellStart"/>
      <w:r w:rsidRPr="00CE3470">
        <w:rPr>
          <w:rFonts w:ascii="Times New Roman" w:hAnsi="Times New Roman" w:cs="Times New Roman"/>
        </w:rPr>
        <w:t>Cotofana</w:t>
      </w:r>
      <w:proofErr w:type="spellEnd"/>
      <w:r w:rsidRPr="00CE3470">
        <w:rPr>
          <w:rFonts w:ascii="Times New Roman" w:hAnsi="Times New Roman" w:cs="Times New Roman"/>
        </w:rPr>
        <w:t xml:space="preserve"> S., </w:t>
      </w:r>
      <w:proofErr w:type="spellStart"/>
      <w:r w:rsidRPr="00CE3470">
        <w:rPr>
          <w:rFonts w:ascii="Times New Roman" w:hAnsi="Times New Roman" w:cs="Times New Roman"/>
        </w:rPr>
        <w:t>Fratila</w:t>
      </w:r>
      <w:proofErr w:type="spellEnd"/>
      <w:r w:rsidRPr="00CE3470">
        <w:rPr>
          <w:rFonts w:ascii="Times New Roman" w:hAnsi="Times New Roman" w:cs="Times New Roman"/>
        </w:rPr>
        <w:t xml:space="preserve"> A.A., </w:t>
      </w:r>
      <w:proofErr w:type="spellStart"/>
      <w:r w:rsidRPr="00CE3470">
        <w:rPr>
          <w:rFonts w:ascii="Times New Roman" w:hAnsi="Times New Roman" w:cs="Times New Roman"/>
        </w:rPr>
        <w:t>Schenck</w:t>
      </w:r>
      <w:proofErr w:type="spellEnd"/>
      <w:r w:rsidRPr="00CE3470">
        <w:rPr>
          <w:rFonts w:ascii="Times New Roman" w:hAnsi="Times New Roman" w:cs="Times New Roman"/>
        </w:rPr>
        <w:t xml:space="preserve"> T.L. et al. The anatomy of the aging face: a review. Facial </w:t>
      </w:r>
      <w:proofErr w:type="spellStart"/>
      <w:r w:rsidRPr="00CE3470">
        <w:rPr>
          <w:rFonts w:ascii="Times New Roman" w:hAnsi="Times New Roman" w:cs="Times New Roman"/>
        </w:rPr>
        <w:t>Plast</w:t>
      </w:r>
      <w:proofErr w:type="spellEnd"/>
      <w:r w:rsidRPr="00CE3470">
        <w:rPr>
          <w:rFonts w:ascii="Times New Roman" w:hAnsi="Times New Roman" w:cs="Times New Roman"/>
        </w:rPr>
        <w:t xml:space="preserve"> </w:t>
      </w:r>
      <w:proofErr w:type="spellStart"/>
      <w:r w:rsidRPr="00CE3470">
        <w:rPr>
          <w:rFonts w:ascii="Times New Roman" w:hAnsi="Times New Roman" w:cs="Times New Roman"/>
        </w:rPr>
        <w:t>Surg</w:t>
      </w:r>
      <w:proofErr w:type="spellEnd"/>
      <w:r w:rsidRPr="00CE3470">
        <w:rPr>
          <w:rFonts w:ascii="Times New Roman" w:hAnsi="Times New Roman" w:cs="Times New Roman"/>
        </w:rPr>
        <w:t xml:space="preserve"> 2016; 32: 253-260.</w:t>
      </w:r>
    </w:p>
    <w:p w:rsidR="009C0C17" w:rsidRPr="00CE3470" w:rsidRDefault="009C0C17" w:rsidP="00CE3470">
      <w:pPr>
        <w:pStyle w:val="a5"/>
        <w:numPr>
          <w:ilvl w:val="0"/>
          <w:numId w:val="4"/>
        </w:numPr>
        <w:rPr>
          <w:rFonts w:ascii="Times New Roman" w:hAnsi="Times New Roman" w:cs="Times New Roman"/>
        </w:rPr>
      </w:pPr>
      <w:r w:rsidRPr="00CE3470">
        <w:rPr>
          <w:rFonts w:ascii="Times New Roman" w:hAnsi="Times New Roman" w:cs="Times New Roman"/>
        </w:rPr>
        <w:t xml:space="preserve">Chen M.-J., Chang K.-J., Hsu C.-C. </w:t>
      </w:r>
      <w:proofErr w:type="gramStart"/>
      <w:r w:rsidRPr="00CE3470">
        <w:rPr>
          <w:rFonts w:ascii="Times New Roman" w:hAnsi="Times New Roman" w:cs="Times New Roman"/>
        </w:rPr>
        <w:t>et</w:t>
      </w:r>
      <w:proofErr w:type="gramEnd"/>
      <w:r w:rsidRPr="00CE3470">
        <w:rPr>
          <w:rFonts w:ascii="Times New Roman" w:hAnsi="Times New Roman" w:cs="Times New Roman"/>
        </w:rPr>
        <w:t xml:space="preserve"> al. Precaution and prevention of coronavirus disease 2019 (COVID-19) infection in the eye. J Chin Med </w:t>
      </w:r>
      <w:proofErr w:type="spellStart"/>
      <w:r w:rsidRPr="00CE3470">
        <w:rPr>
          <w:rFonts w:ascii="Times New Roman" w:hAnsi="Times New Roman" w:cs="Times New Roman"/>
        </w:rPr>
        <w:t>Assoc</w:t>
      </w:r>
      <w:proofErr w:type="spellEnd"/>
      <w:r w:rsidRPr="00CE3470">
        <w:rPr>
          <w:rFonts w:ascii="Times New Roman" w:hAnsi="Times New Roman" w:cs="Times New Roman"/>
        </w:rPr>
        <w:t xml:space="preserve"> 2020</w:t>
      </w:r>
      <w:proofErr w:type="gramStart"/>
      <w:r w:rsidRPr="00CE3470">
        <w:rPr>
          <w:rFonts w:ascii="Times New Roman" w:hAnsi="Times New Roman" w:cs="Times New Roman"/>
        </w:rPr>
        <w:t>;</w:t>
      </w:r>
      <w:proofErr w:type="gramEnd"/>
      <w:r w:rsidRPr="00CE3470">
        <w:rPr>
          <w:rFonts w:ascii="Times New Roman" w:hAnsi="Times New Roman" w:cs="Times New Roman"/>
        </w:rPr>
        <w:t xml:space="preserve"> 83(7): 648-650. </w:t>
      </w:r>
    </w:p>
    <w:p w:rsidR="009C0C17" w:rsidRPr="00CE3470" w:rsidRDefault="009C0C17" w:rsidP="00CE3470">
      <w:pPr>
        <w:pStyle w:val="a5"/>
        <w:numPr>
          <w:ilvl w:val="0"/>
          <w:numId w:val="4"/>
        </w:numPr>
        <w:rPr>
          <w:rFonts w:ascii="Times New Roman" w:hAnsi="Times New Roman" w:cs="Times New Roman"/>
        </w:rPr>
      </w:pPr>
      <w:proofErr w:type="spellStart"/>
      <w:r w:rsidRPr="00CE3470">
        <w:rPr>
          <w:rFonts w:ascii="Times New Roman" w:hAnsi="Times New Roman" w:cs="Times New Roman"/>
        </w:rPr>
        <w:t>Hao</w:t>
      </w:r>
      <w:proofErr w:type="spellEnd"/>
      <w:r w:rsidRPr="00CE3470">
        <w:rPr>
          <w:rFonts w:ascii="Times New Roman" w:hAnsi="Times New Roman" w:cs="Times New Roman"/>
        </w:rPr>
        <w:t xml:space="preserve"> X.U., </w:t>
      </w:r>
      <w:proofErr w:type="spellStart"/>
      <w:r w:rsidRPr="00CE3470">
        <w:rPr>
          <w:rFonts w:ascii="Times New Roman" w:hAnsi="Times New Roman" w:cs="Times New Roman"/>
        </w:rPr>
        <w:t>Zhong</w:t>
      </w:r>
      <w:proofErr w:type="spellEnd"/>
      <w:r w:rsidRPr="00CE3470">
        <w:rPr>
          <w:rFonts w:ascii="Times New Roman" w:hAnsi="Times New Roman" w:cs="Times New Roman"/>
        </w:rPr>
        <w:t xml:space="preserve"> L., Deng J. et al. High expression of ACE2 receptor of 2019-nCoV on the epithelial cells of oral mucosa. </w:t>
      </w:r>
      <w:proofErr w:type="spellStart"/>
      <w:r w:rsidRPr="00CE3470">
        <w:rPr>
          <w:rFonts w:ascii="Times New Roman" w:hAnsi="Times New Roman" w:cs="Times New Roman"/>
        </w:rPr>
        <w:t>Int</w:t>
      </w:r>
      <w:proofErr w:type="spellEnd"/>
      <w:r w:rsidRPr="00CE3470">
        <w:rPr>
          <w:rFonts w:ascii="Times New Roman" w:hAnsi="Times New Roman" w:cs="Times New Roman"/>
        </w:rPr>
        <w:t xml:space="preserve"> J Oral </w:t>
      </w:r>
      <w:proofErr w:type="spellStart"/>
      <w:r w:rsidRPr="00CE3470">
        <w:rPr>
          <w:rFonts w:ascii="Times New Roman" w:hAnsi="Times New Roman" w:cs="Times New Roman"/>
        </w:rPr>
        <w:t>Sci</w:t>
      </w:r>
      <w:proofErr w:type="spellEnd"/>
      <w:r w:rsidRPr="00CE3470">
        <w:rPr>
          <w:rFonts w:ascii="Times New Roman" w:hAnsi="Times New Roman" w:cs="Times New Roman"/>
        </w:rPr>
        <w:t xml:space="preserve"> 2020; 12(1): </w:t>
      </w:r>
      <w:proofErr w:type="gramStart"/>
      <w:r w:rsidRPr="00CE3470">
        <w:rPr>
          <w:rFonts w:ascii="Times New Roman" w:hAnsi="Times New Roman" w:cs="Times New Roman"/>
        </w:rPr>
        <w:t>8</w:t>
      </w:r>
      <w:proofErr w:type="gramEnd"/>
      <w:r w:rsidRPr="00CE3470">
        <w:rPr>
          <w:rFonts w:ascii="Times New Roman" w:hAnsi="Times New Roman" w:cs="Times New Roman"/>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E71A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4476B" w:rsidRDefault="00A52075" w:rsidP="00404E5B">
      <w:pPr>
        <w:spacing w:before="92"/>
        <w:ind w:right="4234"/>
        <w:rPr>
          <w:rFonts w:ascii="Arial"/>
          <w:color w:val="BF5A14"/>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E3470" w:rsidRDefault="00CE3470"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CE3470" w:rsidRDefault="00CE3470"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B4476B" w:rsidRPr="00B4476B">
        <w:rPr>
          <w:noProof/>
          <w:lang w:val="ru-RU" w:eastAsia="ru-RU"/>
        </w:rPr>
        <mc:AlternateContent>
          <mc:Choice Requires="wps">
            <w:drawing>
              <wp:inline distT="0" distB="0" distL="0" distR="0">
                <wp:extent cx="304800" cy="304800"/>
                <wp:effectExtent l="0" t="0" r="0" b="0"/>
                <wp:docPr id="11" name="Прямоугольник 11" descr="https://mail.yandex.by/message_part/IMG_9874.PNG?_uid=225730440&amp;name=IMG_9874.PNG&amp;hid=1.2&amp;ids=180425460071550266&amp;no_disposition=y&amp;exif_rotate=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0A541A" id="Прямоугольник 11" o:spid="_x0000_s1026" alt="https://mail.yandex.by/message_part/IMG_9874.PNG?_uid=225730440&amp;name=IMG_9874.PNG&amp;hid=1.2&amp;ids=180425460071550266&amp;no_disposition=y&amp;exif_rotate=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dqGAd0wDAAB2BgAADgAAAAAAAAAAAAAAAAAuAgAAZHJzL2Uy&#10;b0RvYy54bWxQSwECLQAUAAYACAAAACEATKDpLNgAAAADAQAADwAAAAAAAAAAAAAAAACmBQAAZHJz&#10;L2Rvd25yZXYueG1sUEsFBgAAAAAEAAQA8wAAAKsGAAAAAA==&#10;" filled="f" stroked="f">
                <o:lock v:ext="edit" aspectratio="t"/>
                <w10:anchorlock/>
              </v:rect>
            </w:pict>
          </mc:Fallback>
        </mc:AlternateContent>
      </w:r>
      <w:r w:rsidR="00B4476B" w:rsidRPr="00B4476B">
        <w:rPr>
          <w:noProof/>
          <w:lang w:val="ru-RU" w:eastAsia="ru-RU"/>
        </w:rPr>
        <w:t xml:space="preserve"> </w:t>
      </w:r>
      <w:r w:rsidR="00B4476B" w:rsidRPr="00B4476B">
        <w:rPr>
          <w:noProof/>
          <w:lang w:val="ru-RU" w:eastAsia="ru-RU"/>
        </w:rPr>
        <mc:AlternateContent>
          <mc:Choice Requires="wps">
            <w:drawing>
              <wp:inline distT="0" distB="0" distL="0" distR="0">
                <wp:extent cx="304800" cy="304800"/>
                <wp:effectExtent l="0" t="0" r="0" b="0"/>
                <wp:docPr id="12" name="Прямоугольник 12" descr="https://mail.yandex.by/message_part/IMG_9874.PNG?_uid=225730440&amp;name=IMG_9874.PNG&amp;hid=1.2&amp;ids=180425460071550266&amp;no_disposition=y&amp;exif_rotate=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33543F" id="Прямоугольник 12" o:spid="_x0000_s1026" alt="https://mail.yandex.by/message_part/IMG_9874.PNG?_uid=225730440&amp;name=IMG_9874.PNG&amp;hid=1.2&amp;ids=180425460071550266&amp;no_disposition=y&amp;exif_rotate=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Xm77kwDAAB2BgAADgAAAAAAAAAAAAAAAAAuAgAAZHJzL2Uy&#10;b0RvYy54bWxQSwECLQAUAAYACAAAACEATKDpLNgAAAADAQAADwAAAAAAAAAAAAAAAACmBQAAZHJz&#10;L2Rvd25yZXYueG1sUEsFBgAAAAAEAAQA8wAAAKsGAAAAAA==&#10;" filled="f" stroked="f">
                <o:lock v:ext="edit" aspectratio="t"/>
                <w10:anchorlock/>
              </v:rect>
            </w:pict>
          </mc:Fallback>
        </mc:AlternateContent>
      </w:r>
      <w:r w:rsidR="00B4476B" w:rsidRPr="00B4476B">
        <w:rPr>
          <w:noProof/>
          <w:lang w:val="ru-RU" w:eastAsia="ru-RU"/>
        </w:rPr>
        <w:t xml:space="preserve"> </w:t>
      </w:r>
      <w:r w:rsidR="00A9710C">
        <w:rPr>
          <w:rFonts w:ascii="Arial"/>
          <w:color w:val="BF5A14"/>
        </w:rPr>
        <w:t>Biography</w:t>
      </w:r>
    </w:p>
    <w:p w:rsidR="00AE3E37" w:rsidRDefault="00665A4C" w:rsidP="00404E5B">
      <w:pPr>
        <w:spacing w:before="92"/>
        <w:ind w:right="4234"/>
        <w:rPr>
          <w:rFonts w:ascii="Arial"/>
        </w:rPr>
      </w:pPr>
      <w:bookmarkStart w:id="0" w:name="_GoBack"/>
      <w:r>
        <w:rPr>
          <w:rFonts w:ascii="Arial"/>
          <w:noProof/>
          <w:color w:val="BF5A14"/>
          <w:lang w:val="ru-RU" w:eastAsia="ru-RU"/>
        </w:rPr>
        <w:drawing>
          <wp:inline distT="0" distB="0" distL="0" distR="0">
            <wp:extent cx="1537854" cy="2301814"/>
            <wp:effectExtent l="0" t="0" r="571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9874.jpg"/>
                    <pic:cNvPicPr/>
                  </pic:nvPicPr>
                  <pic:blipFill rotWithShape="1">
                    <a:blip r:embed="rId11">
                      <a:extLst>
                        <a:ext uri="{28A0092B-C50C-407E-A947-70E740481C1C}">
                          <a14:useLocalDpi xmlns:a14="http://schemas.microsoft.com/office/drawing/2010/main" val="0"/>
                        </a:ext>
                      </a:extLst>
                    </a:blip>
                    <a:srcRect t="15368" b="15585"/>
                    <a:stretch/>
                  </pic:blipFill>
                  <pic:spPr bwMode="auto">
                    <a:xfrm>
                      <a:off x="0" y="0"/>
                      <a:ext cx="1537854" cy="2301814"/>
                    </a:xfrm>
                    <a:prstGeom prst="rect">
                      <a:avLst/>
                    </a:prstGeom>
                    <a:ln>
                      <a:noFill/>
                    </a:ln>
                    <a:extLst>
                      <a:ext uri="{53640926-AAD7-44D8-BBD7-CCE9431645EC}">
                        <a14:shadowObscured xmlns:a14="http://schemas.microsoft.com/office/drawing/2010/main"/>
                      </a:ext>
                    </a:extLst>
                  </pic:spPr>
                </pic:pic>
              </a:graphicData>
            </a:graphic>
          </wp:inline>
        </w:drawing>
      </w:r>
      <w:bookmarkEnd w:id="0"/>
      <w:r w:rsidR="00404E5B">
        <w:rPr>
          <w:rFonts w:ascii="Arial"/>
          <w:color w:val="BF5A14"/>
        </w:rPr>
        <w:t xml:space="preserve"> </w:t>
      </w:r>
    </w:p>
    <w:p w:rsidR="00AE3E37" w:rsidRDefault="00B4476B">
      <w:pPr>
        <w:spacing w:before="62"/>
        <w:ind w:left="4217" w:right="4235"/>
        <w:jc w:val="center"/>
        <w:rPr>
          <w:rFonts w:ascii="Arial"/>
          <w:sz w:val="14"/>
        </w:rPr>
      </w:pPr>
      <w:r>
        <w:rPr>
          <w:rFonts w:ascii="Arial"/>
          <w:sz w:val="14"/>
        </w:rPr>
        <w:t>Kruk Natalia</w:t>
      </w:r>
      <w:r w:rsidRPr="00B4476B">
        <w:rPr>
          <w:rFonts w:ascii="Arial"/>
          <w:sz w:val="14"/>
        </w:rPr>
        <w:t xml:space="preserve">, </w:t>
      </w:r>
      <w:proofErr w:type="spellStart"/>
      <w:r w:rsidRPr="00B4476B">
        <w:rPr>
          <w:rFonts w:ascii="Arial"/>
          <w:sz w:val="14"/>
        </w:rPr>
        <w:t>dermatovenereologist</w:t>
      </w:r>
      <w:proofErr w:type="spellEnd"/>
      <w:r w:rsidRPr="00B4476B">
        <w:rPr>
          <w:rFonts w:ascii="Arial"/>
          <w:sz w:val="14"/>
        </w:rPr>
        <w:t xml:space="preserve">, cosmetologist, </w:t>
      </w:r>
      <w:proofErr w:type="spellStart"/>
      <w:r w:rsidRPr="00B4476B">
        <w:rPr>
          <w:rFonts w:ascii="Arial"/>
          <w:sz w:val="14"/>
        </w:rPr>
        <w:t>trichologist</w:t>
      </w:r>
      <w:proofErr w:type="spellEnd"/>
      <w:r w:rsidRPr="00B4476B">
        <w:rPr>
          <w:rFonts w:ascii="Arial"/>
          <w:sz w:val="14"/>
        </w:rPr>
        <w:t xml:space="preserve">. The main activity is the treatment of complex </w:t>
      </w:r>
      <w:proofErr w:type="spellStart"/>
      <w:r w:rsidRPr="00B4476B">
        <w:rPr>
          <w:rFonts w:ascii="Arial"/>
          <w:sz w:val="14"/>
        </w:rPr>
        <w:t>dermatoses</w:t>
      </w:r>
      <w:proofErr w:type="spellEnd"/>
      <w:r w:rsidRPr="00B4476B">
        <w:rPr>
          <w:rFonts w:ascii="Arial"/>
          <w:sz w:val="14"/>
        </w:rPr>
        <w:t xml:space="preserve">, the correction of aesthetic deficiencies, the development and implementation of new methods of therapy. </w:t>
      </w:r>
      <w:r w:rsidR="00A9710C">
        <w:rPr>
          <w:rFonts w:ascii="Arial"/>
          <w:sz w:val="14"/>
        </w:rPr>
        <w:t xml:space="preserve">Email: </w:t>
      </w:r>
      <w:r w:rsidR="00CE3470">
        <w:rPr>
          <w:rFonts w:ascii="Arial"/>
          <w:sz w:val="14"/>
        </w:rPr>
        <w:t>kruk-med@yandex.ru</w:t>
      </w:r>
      <w:hyperlink r:id="rId12" w:history="1"/>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6C69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E3470">
        <w:rPr>
          <w:sz w:val="20"/>
          <w:szCs w:val="20"/>
          <w:lang w:val="en-NZ"/>
        </w:rPr>
        <w:t>Natallia</w:t>
      </w:r>
      <w:proofErr w:type="spellEnd"/>
      <w:r w:rsidR="00CE3470">
        <w:rPr>
          <w:sz w:val="20"/>
          <w:szCs w:val="20"/>
          <w:lang w:val="en-NZ"/>
        </w:rPr>
        <w:t xml:space="preserve"> </w:t>
      </w:r>
      <w:proofErr w:type="spellStart"/>
      <w:r w:rsidR="00CE3470">
        <w:rPr>
          <w:sz w:val="20"/>
          <w:szCs w:val="20"/>
          <w:lang w:val="en-NZ"/>
        </w:rPr>
        <w:t>kruk</w:t>
      </w:r>
      <w:proofErr w:type="spellEnd"/>
      <w:r w:rsidRPr="00F35A62">
        <w:rPr>
          <w:sz w:val="20"/>
          <w:szCs w:val="20"/>
          <w:lang w:val="en-NZ"/>
        </w:rPr>
        <w:br/>
        <w:t>Contact number:</w:t>
      </w:r>
      <w:r w:rsidR="00CE3470">
        <w:rPr>
          <w:sz w:val="20"/>
          <w:szCs w:val="20"/>
          <w:lang w:val="en-NZ"/>
        </w:rPr>
        <w:t xml:space="preserve"> +375296367505</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CE3470">
        <w:rPr>
          <w:sz w:val="20"/>
          <w:szCs w:val="20"/>
          <w:lang w:val="en-NZ"/>
        </w:rPr>
        <w:t xml:space="preserve"> </w:t>
      </w:r>
      <w:proofErr w:type="spellStart"/>
      <w:r w:rsidR="00CE3470">
        <w:rPr>
          <w:sz w:val="20"/>
          <w:szCs w:val="20"/>
          <w:lang w:val="en-NZ"/>
        </w:rPr>
        <w:t>Natallia</w:t>
      </w:r>
      <w:proofErr w:type="spellEnd"/>
      <w:r w:rsidR="00CE3470">
        <w:rPr>
          <w:sz w:val="20"/>
          <w:szCs w:val="20"/>
          <w:lang w:val="en-NZ"/>
        </w:rPr>
        <w:t xml:space="preserve"> </w:t>
      </w:r>
      <w:proofErr w:type="spellStart"/>
      <w:r w:rsidR="00CE3470">
        <w:rPr>
          <w:sz w:val="20"/>
          <w:szCs w:val="20"/>
          <w:lang w:val="en-NZ"/>
        </w:rPr>
        <w:t>kruk</w:t>
      </w:r>
      <w:proofErr w:type="spellEnd"/>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CE3470">
        <w:rPr>
          <w:sz w:val="20"/>
          <w:szCs w:val="20"/>
          <w:lang w:val="en-NZ"/>
        </w:rPr>
        <w:t>Aesthetic cosmetology</w:t>
      </w:r>
      <w:r w:rsidRPr="00F35A62">
        <w:rPr>
          <w:sz w:val="20"/>
          <w:szCs w:val="20"/>
          <w:lang w:val="en-NZ"/>
        </w:rPr>
        <w:br/>
        <w:t>Category: (</w:t>
      </w:r>
      <w:r w:rsidRPr="00CE3470">
        <w:rPr>
          <w:sz w:val="20"/>
          <w:szCs w:val="20"/>
          <w:u w:val="single"/>
          <w:lang w:val="en-NZ"/>
        </w:rPr>
        <w:t>Oral presentation</w:t>
      </w:r>
      <w:r w:rsidRPr="00F35A62">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A20" w:rsidRDefault="002D3A20">
      <w:r>
        <w:separator/>
      </w:r>
    </w:p>
  </w:endnote>
  <w:endnote w:type="continuationSeparator" w:id="0">
    <w:p w:rsidR="002D3A20" w:rsidRDefault="002D3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470" w:rsidRDefault="00CE3470">
    <w:pPr>
      <w:pStyle w:val="a3"/>
      <w:spacing w:line="14" w:lineRule="auto"/>
      <w:rPr>
        <w:sz w:val="20"/>
      </w:rPr>
    </w:pPr>
    <w:r>
      <w:rPr>
        <w:noProof/>
        <w:lang w:val="ru-RU" w:eastAsia="ru-RU"/>
      </w:rPr>
      <mc:AlternateContent>
        <mc:Choice Requires="wps">
          <w:drawing>
            <wp:anchor distT="0" distB="0" distL="114300" distR="114300" simplePos="0" relativeHeight="251656192" behindDoc="1" locked="0" layoutInCell="1" allowOverlap="1" wp14:anchorId="1FDC50B4" wp14:editId="6210DF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3470" w:rsidRPr="005B3A56" w:rsidRDefault="00CE3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E3470" w:rsidRPr="005B3A56" w:rsidRDefault="00CE34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C50B4"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CE3470" w:rsidRPr="005B3A56" w:rsidRDefault="00CE3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E3470" w:rsidRPr="005B3A56" w:rsidRDefault="00CE34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8240" behindDoc="1" locked="0" layoutInCell="1" allowOverlap="1" wp14:anchorId="3C5D4671" wp14:editId="616440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3470" w:rsidRPr="005B3A56" w:rsidRDefault="00CE3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E3470" w:rsidRPr="005B3A56" w:rsidRDefault="00CE34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D4671"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CE3470" w:rsidRPr="005B3A56" w:rsidRDefault="00CE3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E3470" w:rsidRPr="005B3A56" w:rsidRDefault="00CE34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5E0D69D1" wp14:editId="43A155C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3470" w:rsidRPr="005B3A56" w:rsidRDefault="00CE34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E3470" w:rsidRPr="005B3A56" w:rsidRDefault="00CE3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D69D1"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CE3470" w:rsidRPr="005B3A56" w:rsidRDefault="00CE34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E3470" w:rsidRPr="005B3A56" w:rsidRDefault="00CE3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A20" w:rsidRDefault="002D3A20">
      <w:r>
        <w:separator/>
      </w:r>
    </w:p>
  </w:footnote>
  <w:footnote w:type="continuationSeparator" w:id="0">
    <w:p w:rsidR="002D3A20" w:rsidRDefault="002D3A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F5153"/>
    <w:multiLevelType w:val="hybridMultilevel"/>
    <w:tmpl w:val="9C7E297A"/>
    <w:lvl w:ilvl="0" w:tplc="32600A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D3A20"/>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65A4C"/>
    <w:rsid w:val="00714354"/>
    <w:rsid w:val="00873DF0"/>
    <w:rsid w:val="008756E6"/>
    <w:rsid w:val="00897EC5"/>
    <w:rsid w:val="008A0763"/>
    <w:rsid w:val="008E5477"/>
    <w:rsid w:val="009B2D44"/>
    <w:rsid w:val="009C0C17"/>
    <w:rsid w:val="00A07E82"/>
    <w:rsid w:val="00A52075"/>
    <w:rsid w:val="00A9710C"/>
    <w:rsid w:val="00AE3E37"/>
    <w:rsid w:val="00B21A57"/>
    <w:rsid w:val="00B4476B"/>
    <w:rsid w:val="00BE6743"/>
    <w:rsid w:val="00C33602"/>
    <w:rsid w:val="00C56C74"/>
    <w:rsid w:val="00CD6F55"/>
    <w:rsid w:val="00CE3470"/>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C600EE-433B-4B27-8114-7FF8A737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table" w:styleId="ad">
    <w:name w:val="Table Grid"/>
    <w:basedOn w:val="a1"/>
    <w:uiPriority w:val="59"/>
    <w:rsid w:val="009C0C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hyperlink" Target="https://doi.org/10.33667/2078-5631-2020-6-79-82"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3573</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Пользователь Windows</cp:lastModifiedBy>
  <cp:revision>2</cp:revision>
  <dcterms:created xsi:type="dcterms:W3CDTF">2022-09-18T21:20:00Z</dcterms:created>
  <dcterms:modified xsi:type="dcterms:W3CDTF">2022-09-18T21:20:00Z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