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p>
    <w:p>
      <w:pPr>
        <w:ind w:firstLine="1440" w:firstLineChars="450"/>
        <w:rPr>
          <w:rFonts w:hint="default"/>
          <w:sz w:val="32"/>
          <w:szCs w:val="32"/>
          <w:lang w:val="en-IN"/>
        </w:rPr>
      </w:pPr>
      <w:r>
        <w:rPr>
          <w:rFonts w:hint="default"/>
          <w:sz w:val="32"/>
          <w:szCs w:val="32"/>
          <w:lang w:val="en-IN"/>
        </w:rPr>
        <w:t>Malignancy risk in Costello syndrome</w:t>
      </w:r>
    </w:p>
    <w:p>
      <w:pPr>
        <w:ind w:firstLine="2720" w:firstLineChars="850"/>
        <w:rPr>
          <w:rFonts w:hint="default"/>
          <w:sz w:val="32"/>
          <w:szCs w:val="32"/>
          <w:lang w:val="en-IN"/>
        </w:rPr>
      </w:pPr>
    </w:p>
    <w:p>
      <w:pPr>
        <w:ind w:firstLine="2760" w:firstLineChars="1150"/>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ind w:firstLine="2760" w:firstLineChars="1150"/>
        <w:rPr>
          <w:rFonts w:hint="default"/>
          <w:sz w:val="24"/>
          <w:szCs w:val="24"/>
          <w:lang w:val="en-IN"/>
        </w:rPr>
      </w:pPr>
      <w:r>
        <w:rPr>
          <w:rFonts w:hint="default"/>
          <w:sz w:val="24"/>
          <w:szCs w:val="24"/>
          <w:lang w:val="en-IN"/>
        </w:rPr>
        <w:t>President of all Nations</w:t>
      </w:r>
    </w:p>
    <w:p>
      <w:pPr>
        <w:ind w:firstLine="2760" w:firstLineChars="1150"/>
        <w:rPr>
          <w:rFonts w:hint="default"/>
          <w:sz w:val="24"/>
          <w:szCs w:val="24"/>
          <w:lang w:val="en-IN"/>
        </w:rPr>
      </w:pPr>
    </w:p>
    <w:p>
      <w:pPr>
        <w:ind w:firstLine="2160" w:firstLineChars="900"/>
        <w:rPr>
          <w:rFonts w:hint="default"/>
          <w:sz w:val="24"/>
          <w:szCs w:val="24"/>
          <w:lang w:val="en-IN"/>
        </w:rPr>
      </w:pPr>
      <w:r>
        <w:rPr>
          <w:rFonts w:hint="default"/>
          <w:sz w:val="24"/>
          <w:szCs w:val="24"/>
          <w:lang w:val="en-IN"/>
        </w:rPr>
        <w:t xml:space="preserve">Morning star hospital, Marthandam, </w:t>
      </w:r>
    </w:p>
    <w:p>
      <w:pPr>
        <w:ind w:firstLine="2160" w:firstLineChars="900"/>
        <w:rPr>
          <w:rFonts w:hint="default"/>
          <w:sz w:val="24"/>
          <w:szCs w:val="24"/>
          <w:lang w:val="en-IN"/>
        </w:rPr>
      </w:pPr>
    </w:p>
    <w:p>
      <w:pPr>
        <w:ind w:firstLine="2400" w:firstLineChars="1000"/>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Costello syndrome is a rare RASopathy resulting from germline mutations of the protooncogene HRAS. Many of these mutations affect SHP2, SOS1, RAS, RAF and MEK proteins  It was discovered by Dr. Jack Costello, a New Zealand paediatrician in 1977. Dr. White says. Costello syndrome is now known to be one of a group of related disorders,,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‘Rasopathies’.In this pathway, Ras, a GTPase, transmits extracellular signaling from receptor tyrosine kinases to two serine/threonine kinases (Raf and MEK) and, finally, to the activation of MAPKs. Frequency of malignancy  in mutation positive cases is 11%. In the Japanese and North American series, the commonest mutation was the G12S missense substitution. In G12Ser mutation, rhabomyosarcoma was observed  in (7%), with a benign bladder tumour in a single case and the ,more severe neoplastic phenotypes are p.Gly 12 Asp and p.Gly 12 Cys. The features of increased index of suspicion of CS in new born are fetal atrial tachycardia, increased birth weight and head circumferencw, neonatal hypoglycemia, severe feeding difficulties and urinalysis for hematuria (embryonal rhabdomyosarcoma) and loose, redundant  skin on the hands and feet seen in newborns (key role in clinical suspicion of CS). Ras pathway agents, such as farnesyl transferase inhibitors (tipifarnib and lonafarnib) that prevent posttranslational modification of Ras, are being evaluated and may be of therapeutic use for syndromes in this pathway, especially CS. MEK 162 (Binimetinib),orally available inhibitor of mitogen-activated protein kinase kinase 1 and 2 (MEK1/2) ,directly target the RAF-MEK-ERK 1/2 cascade and it is the best tool against cardiac hypertrophy. The most established mTOR inhibitors are so-called rapalogs (rapamycin and its analogs) reverse cardiac defects. </w:t>
      </w:r>
      <w:bookmarkStart w:id="0" w:name="_GoBack"/>
      <w:bookmarkEnd w:id="0"/>
      <w:r>
        <w:rPr>
          <w:rFonts w:hint="default"/>
          <w:sz w:val="24"/>
          <w:szCs w:val="24"/>
          <w:lang w:val="en-IN"/>
        </w:rPr>
        <w:t>Simvastatin- interact with Ras isoprenylation, decrease Ras activity and low dose statin with selective inhibition of pathological ERK 1/2 signaling is an exciting possibility in the reatment of CS patients.MEK inhibitors rescue the enamel mineralization defect in costello syndrome. PI3K inhibition only correct the progenitor cell proliferation phenotype. RAF-1 inhibition by C-type Natriuretic Peptide (CNP) improved bone growth in preclinical animal models.</w:t>
      </w:r>
    </w:p>
    <w:p>
      <w:pPr>
        <w:ind w:firstLine="960" w:firstLineChars="400"/>
        <w:jc w:val="both"/>
        <w:rPr>
          <w:rFonts w:hint="default"/>
          <w:sz w:val="24"/>
          <w:szCs w:val="24"/>
          <w:lang w:val="en-IN"/>
        </w:rPr>
      </w:pPr>
      <w:r>
        <w:rPr>
          <w:rFonts w:hint="default"/>
          <w:sz w:val="24"/>
          <w:szCs w:val="24"/>
          <w:lang w:val="en-IN"/>
        </w:rPr>
        <w:t xml:space="preserve"> The Splicing Efficiency of Activating HRAS Mutations can determine Costello Syndrome Phenotype and Frequency in Cancer.This unravels a potential for development of new anti-cancer therapies based on SSO-mediated HRAS exon 2 skipping. Gene correction of these germline mutations to restore normal protein functions is anticipated as a new therapeutic option. Th</w:t>
      </w:r>
    </w:p>
    <w:p>
      <w:pPr>
        <w:ind w:firstLine="1200" w:firstLineChars="50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ind w:firstLine="1000" w:firstLineChars="500"/>
        <w:jc w:val="both"/>
        <w:rPr>
          <w:rFonts w:hint="default"/>
          <w:sz w:val="24"/>
          <w:szCs w:val="24"/>
          <w:lang w:val="en-IN"/>
        </w:rPr>
      </w:pPr>
      <w:r>
        <w:drawing>
          <wp:anchor distT="0" distB="0" distL="114300" distR="114300" simplePos="0" relativeHeight="251660288" behindDoc="0" locked="0" layoutInCell="1" allowOverlap="1">
            <wp:simplePos x="0" y="0"/>
            <wp:positionH relativeFrom="column">
              <wp:posOffset>3247390</wp:posOffset>
            </wp:positionH>
            <wp:positionV relativeFrom="paragraph">
              <wp:posOffset>114300</wp:posOffset>
            </wp:positionV>
            <wp:extent cx="1367790" cy="1296035"/>
            <wp:effectExtent l="0" t="0" r="3810" b="18415"/>
            <wp:wrapSquare wrapText="bothSides"/>
            <wp:docPr id="2" name="Content Placeholder 3" descr="C:\Users\TKMCLIB\Downloads\_20160610_121331.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Content Placeholder 3" descr="C:\Users\TKMCLIB\Downloads\_20160610_121331.jpg"/>
                    <pic:cNvPicPr>
                      <a:picLocks noGrp="1"/>
                    </pic:cNvPicPr>
                  </pic:nvPicPr>
                  <pic:blipFill>
                    <a:blip r:embed="rId4"/>
                    <a:srcRect l="8389" r="2852"/>
                    <a:stretch>
                      <a:fillRect/>
                    </a:stretch>
                  </pic:blipFill>
                  <pic:spPr>
                    <a:xfrm>
                      <a:off x="0" y="0"/>
                      <a:ext cx="1367790" cy="1296035"/>
                    </a:xfrm>
                    <a:prstGeom prst="rect">
                      <a:avLst/>
                    </a:prstGeom>
                    <a:noFill/>
                    <a:ln w="9525">
                      <a:noFill/>
                      <a:miter lim="800000"/>
                      <a:headEnd/>
                      <a:tailEnd/>
                    </a:ln>
                  </pic:spPr>
                </pic:pic>
              </a:graphicData>
            </a:graphic>
          </wp:anchor>
        </w:drawing>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rPr>
          <w:rFonts w:hint="default"/>
          <w:sz w:val="32"/>
          <w:szCs w:val="32"/>
          <w:lang w:val="en-IN"/>
        </w:rPr>
      </w:pPr>
      <w:r>
        <w:rPr>
          <w:rFonts w:hint="default"/>
          <w:sz w:val="32"/>
          <w:szCs w:val="32"/>
          <w:lang w:val="en-IN"/>
        </w:rPr>
        <w:t>Publications</w:t>
      </w:r>
    </w:p>
    <w:p>
      <w:pPr>
        <w:numPr>
          <w:ilvl w:val="0"/>
          <w:numId w:val="1"/>
        </w:numPr>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397-429</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hint="default"/>
          <w:color w:val="000000" w:themeColor="text1"/>
          <w:sz w:val="28"/>
          <w:szCs w:val="2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352-379.</w:t>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13547C7F"/>
    <w:rsid w:val="1EEC2E5C"/>
    <w:rsid w:val="302F25CF"/>
    <w:rsid w:val="329730B0"/>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TotalTime>
  <ScaleCrop>false</ScaleCrop>
  <LinksUpToDate>false</LinksUpToDate>
  <CharactersWithSpaces>0</CharactersWithSpaces>
  <Application>WPS Office_11.2.0.11191_F1E327BC-269C-435d-A152-05C5408002CA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2022-08-01T17:59:38Z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762B612A13E34DCDBF7E69AC71465F03</vt:lpwstr>
  </property>
</Properties>
</file>