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61" w:rsidRPr="003E15E7" w:rsidRDefault="005E4261" w:rsidP="005E4261">
      <w:pPr>
        <w:autoSpaceDE w:val="0"/>
        <w:autoSpaceDN w:val="0"/>
        <w:adjustRightInd w:val="0"/>
        <w:spacing w:after="0" w:line="240" w:lineRule="auto"/>
        <w:rPr>
          <w:rFonts w:ascii="AdvCAECI-H" w:hAnsi="AdvCAECI-H" w:cs="AdvCAECI-H"/>
          <w:b/>
          <w:bCs/>
          <w:color w:val="000000"/>
          <w:sz w:val="36"/>
          <w:szCs w:val="36"/>
        </w:rPr>
      </w:pPr>
      <w:bookmarkStart w:id="0" w:name="_GoBack"/>
      <w:r w:rsidRPr="003E15E7">
        <w:rPr>
          <w:rFonts w:ascii="AdvCAECI-H" w:hAnsi="AdvCAECI-H" w:cs="AdvCAECI-H"/>
          <w:b/>
          <w:bCs/>
          <w:color w:val="000000"/>
          <w:sz w:val="36"/>
          <w:szCs w:val="36"/>
        </w:rPr>
        <w:t>Potential serum biomarkers for early detection of</w:t>
      </w:r>
    </w:p>
    <w:bookmarkEnd w:id="0"/>
    <w:p w:rsidR="005E4261" w:rsidRPr="003E15E7" w:rsidRDefault="005E4261" w:rsidP="005E4261">
      <w:pPr>
        <w:autoSpaceDE w:val="0"/>
        <w:autoSpaceDN w:val="0"/>
        <w:adjustRightInd w:val="0"/>
        <w:spacing w:after="0" w:line="240" w:lineRule="auto"/>
        <w:rPr>
          <w:rFonts w:ascii="AdvCAECI-H" w:hAnsi="AdvCAECI-H" w:cs="AdvCAECI-H"/>
          <w:b/>
          <w:bCs/>
          <w:color w:val="000000"/>
          <w:sz w:val="36"/>
          <w:szCs w:val="36"/>
        </w:rPr>
      </w:pPr>
      <w:proofErr w:type="gramStart"/>
      <w:r w:rsidRPr="003E15E7">
        <w:rPr>
          <w:rFonts w:ascii="AdvCAECI-H" w:hAnsi="AdvCAECI-H" w:cs="AdvCAECI-H"/>
          <w:b/>
          <w:bCs/>
          <w:color w:val="000000"/>
          <w:sz w:val="36"/>
          <w:szCs w:val="36"/>
        </w:rPr>
        <w:t>diabetic</w:t>
      </w:r>
      <w:proofErr w:type="gramEnd"/>
      <w:r w:rsidRPr="003E15E7">
        <w:rPr>
          <w:rFonts w:ascii="AdvCAECI-H" w:hAnsi="AdvCAECI-H" w:cs="AdvCAECI-H"/>
          <w:b/>
          <w:bCs/>
          <w:color w:val="000000"/>
          <w:sz w:val="36"/>
          <w:szCs w:val="36"/>
        </w:rPr>
        <w:t xml:space="preserve"> nephropathy</w:t>
      </w:r>
    </w:p>
    <w:p w:rsidR="003E15E7" w:rsidRDefault="003E15E7" w:rsidP="005E4261">
      <w:pPr>
        <w:autoSpaceDE w:val="0"/>
        <w:autoSpaceDN w:val="0"/>
        <w:adjustRightInd w:val="0"/>
        <w:spacing w:after="0" w:line="240" w:lineRule="auto"/>
        <w:rPr>
          <w:rFonts w:ascii="AdvCAECI-BI" w:hAnsi="AdvCAECI-BI" w:cs="AdvCAECI-BI"/>
          <w:color w:val="000000"/>
          <w:sz w:val="24"/>
          <w:szCs w:val="24"/>
          <w:rtl/>
        </w:rPr>
      </w:pPr>
    </w:p>
    <w:p w:rsidR="005E4261" w:rsidRPr="003E15E7" w:rsidRDefault="005E4261" w:rsidP="003E15E7">
      <w:pPr>
        <w:autoSpaceDE w:val="0"/>
        <w:autoSpaceDN w:val="0"/>
        <w:adjustRightInd w:val="0"/>
        <w:spacing w:after="0" w:line="240" w:lineRule="auto"/>
        <w:rPr>
          <w:rFonts w:ascii="AdvCAECI-B" w:hAnsi="AdvCAECI-B" w:cs="AdvCAECI-B"/>
          <w:b/>
          <w:bCs/>
          <w:color w:val="0080AE"/>
          <w:sz w:val="28"/>
          <w:szCs w:val="28"/>
        </w:rPr>
      </w:pP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Tarek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Kamal </w:t>
      </w: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Motawi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</w:t>
      </w:r>
      <w:r w:rsidRPr="003E15E7">
        <w:rPr>
          <w:rFonts w:ascii="AdvCAECI-BI" w:hAnsi="AdvCAECI-BI" w:cs="AdvCAECI-BI"/>
          <w:b/>
          <w:bCs/>
          <w:color w:val="0080AE"/>
          <w:sz w:val="28"/>
          <w:szCs w:val="28"/>
        </w:rPr>
        <w:t>a</w:t>
      </w:r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, </w:t>
      </w: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Nagwa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Ibrahim </w:t>
      </w: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Shehata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</w:t>
      </w:r>
      <w:r w:rsidRPr="003E15E7">
        <w:rPr>
          <w:rFonts w:ascii="AdvCAECI-BI" w:hAnsi="AdvCAECI-BI" w:cs="AdvCAECI-BI"/>
          <w:b/>
          <w:bCs/>
          <w:color w:val="0080AE"/>
          <w:sz w:val="28"/>
          <w:szCs w:val="28"/>
        </w:rPr>
        <w:t>a</w:t>
      </w:r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, Mahmoud Mohamed </w:t>
      </w: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ElNokeety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</w:t>
      </w:r>
      <w:proofErr w:type="spellStart"/>
      <w:r w:rsidRPr="003E15E7">
        <w:rPr>
          <w:rFonts w:ascii="AdvCAECI-BI" w:hAnsi="AdvCAECI-BI" w:cs="AdvCAECI-BI"/>
          <w:b/>
          <w:bCs/>
          <w:color w:val="0080AE"/>
          <w:sz w:val="28"/>
          <w:szCs w:val="28"/>
        </w:rPr>
        <w:t>b</w:t>
      </w:r>
      <w:proofErr w:type="gram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,Yasmin</w:t>
      </w:r>
      <w:proofErr w:type="spellEnd"/>
      <w:proofErr w:type="gram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</w:t>
      </w: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Farid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El-</w:t>
      </w:r>
      <w:proofErr w:type="spellStart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Emady</w:t>
      </w:r>
      <w:proofErr w:type="spellEnd"/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 xml:space="preserve"> </w:t>
      </w:r>
      <w:r w:rsidRPr="003E15E7">
        <w:rPr>
          <w:rFonts w:ascii="AdvCAECI-BI" w:hAnsi="AdvCAECI-BI" w:cs="AdvCAECI-BI"/>
          <w:b/>
          <w:bCs/>
          <w:color w:val="0080AE"/>
          <w:sz w:val="28"/>
          <w:szCs w:val="28"/>
        </w:rPr>
        <w:t>c</w:t>
      </w:r>
      <w:r w:rsidRPr="003E15E7">
        <w:rPr>
          <w:rFonts w:ascii="AdvCAECI-BI" w:hAnsi="AdvCAECI-BI" w:cs="AdvCAECI-BI"/>
          <w:b/>
          <w:bCs/>
          <w:color w:val="000000"/>
          <w:sz w:val="28"/>
          <w:szCs w:val="28"/>
        </w:rPr>
        <w:t>,</w:t>
      </w:r>
      <w:r w:rsidRPr="003E15E7">
        <w:rPr>
          <w:rFonts w:ascii="AdvCAECI-B" w:hAnsi="AdvCAECI-B" w:cs="AdvCAECI-B"/>
          <w:b/>
          <w:bCs/>
          <w:color w:val="0080AE"/>
          <w:sz w:val="28"/>
          <w:szCs w:val="28"/>
        </w:rPr>
        <w:t>*</w:t>
      </w:r>
    </w:p>
    <w:p w:rsidR="003E15E7" w:rsidRDefault="003E15E7" w:rsidP="005E4261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color w:val="000000"/>
          <w:sz w:val="24"/>
          <w:szCs w:val="24"/>
          <w:rtl/>
        </w:rPr>
      </w:pPr>
    </w:p>
    <w:p w:rsidR="005E4261" w:rsidRPr="003E15E7" w:rsidRDefault="005E4261" w:rsidP="005E4261">
      <w:pPr>
        <w:autoSpaceDE w:val="0"/>
        <w:autoSpaceDN w:val="0"/>
        <w:adjustRightInd w:val="0"/>
        <w:spacing w:after="0" w:line="240" w:lineRule="auto"/>
        <w:rPr>
          <w:rFonts w:ascii="AdvCAECI-I" w:hAnsi="AdvCAECI-I" w:cs="AdvCAECI-I"/>
          <w:b/>
          <w:bCs/>
          <w:color w:val="000000"/>
          <w:sz w:val="24"/>
          <w:szCs w:val="24"/>
        </w:rPr>
      </w:pPr>
      <w:r w:rsidRPr="003E15E7">
        <w:rPr>
          <w:rFonts w:ascii="AdvCAECI-R" w:hAnsi="AdvCAECI-R" w:cs="AdvCAECI-R"/>
          <w:b/>
          <w:bCs/>
          <w:color w:val="000000"/>
          <w:sz w:val="24"/>
          <w:szCs w:val="24"/>
        </w:rPr>
        <w:t xml:space="preserve">a </w:t>
      </w:r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 xml:space="preserve">Biochemistry Department, Faculty of Pharmacy, Cairo University, </w:t>
      </w:r>
      <w:proofErr w:type="spellStart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>Kasr</w:t>
      </w:r>
      <w:proofErr w:type="spellEnd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 xml:space="preserve"> Al </w:t>
      </w:r>
      <w:proofErr w:type="spellStart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>Ainy</w:t>
      </w:r>
      <w:proofErr w:type="spellEnd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>, St. Cairo 11562, Egypt</w:t>
      </w:r>
    </w:p>
    <w:p w:rsidR="005E4261" w:rsidRPr="003E15E7" w:rsidRDefault="005E4261" w:rsidP="005E4261">
      <w:pPr>
        <w:autoSpaceDE w:val="0"/>
        <w:autoSpaceDN w:val="0"/>
        <w:adjustRightInd w:val="0"/>
        <w:spacing w:after="0" w:line="240" w:lineRule="auto"/>
        <w:rPr>
          <w:rFonts w:ascii="AdvCAECI-I" w:hAnsi="AdvCAECI-I" w:cs="AdvCAECI-I"/>
          <w:b/>
          <w:bCs/>
          <w:color w:val="000000"/>
          <w:sz w:val="24"/>
          <w:szCs w:val="24"/>
        </w:rPr>
      </w:pPr>
      <w:r w:rsidRPr="003E15E7">
        <w:rPr>
          <w:rFonts w:ascii="AdvCAECI-R" w:hAnsi="AdvCAECI-R" w:cs="AdvCAECI-R"/>
          <w:b/>
          <w:bCs/>
          <w:color w:val="000000"/>
          <w:sz w:val="24"/>
          <w:szCs w:val="24"/>
        </w:rPr>
        <w:t xml:space="preserve">b </w:t>
      </w:r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 xml:space="preserve">Department of Internal Medicine, Faculty of Medicine, Cairo University, </w:t>
      </w:r>
      <w:proofErr w:type="spellStart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>Kasr</w:t>
      </w:r>
      <w:proofErr w:type="spellEnd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 xml:space="preserve"> Al </w:t>
      </w:r>
      <w:proofErr w:type="spellStart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>Ainy</w:t>
      </w:r>
      <w:proofErr w:type="spellEnd"/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>, St. Cairo 11562, Egypt</w:t>
      </w:r>
    </w:p>
    <w:p w:rsidR="004923F9" w:rsidRPr="003E15E7" w:rsidRDefault="005E4261" w:rsidP="003E15E7">
      <w:pPr>
        <w:rPr>
          <w:rFonts w:ascii="AdvCAECI-I" w:hAnsi="AdvCAECI-I" w:cs="AdvCAECI-I"/>
          <w:b/>
          <w:bCs/>
          <w:color w:val="000000"/>
          <w:sz w:val="24"/>
          <w:szCs w:val="24"/>
        </w:rPr>
      </w:pPr>
      <w:proofErr w:type="gramStart"/>
      <w:r w:rsidRPr="003E15E7">
        <w:rPr>
          <w:rFonts w:ascii="AdvCAECI-R" w:hAnsi="AdvCAECI-R" w:cs="AdvCAECI-R"/>
          <w:b/>
          <w:bCs/>
          <w:color w:val="000000"/>
          <w:sz w:val="24"/>
          <w:szCs w:val="24"/>
        </w:rPr>
        <w:t>c</w:t>
      </w:r>
      <w:proofErr w:type="gramEnd"/>
      <w:r w:rsidRPr="003E15E7">
        <w:rPr>
          <w:rFonts w:ascii="AdvCAECI-R" w:hAnsi="AdvCAECI-R" w:cs="AdvCAECI-R"/>
          <w:b/>
          <w:bCs/>
          <w:color w:val="000000"/>
          <w:sz w:val="24"/>
          <w:szCs w:val="24"/>
        </w:rPr>
        <w:t xml:space="preserve"> </w:t>
      </w:r>
      <w:r w:rsidRPr="003E15E7">
        <w:rPr>
          <w:rFonts w:ascii="AdvCAECI-I" w:hAnsi="AdvCAECI-I" w:cs="AdvCAECI-I"/>
          <w:b/>
          <w:bCs/>
          <w:color w:val="000000"/>
          <w:sz w:val="24"/>
          <w:szCs w:val="24"/>
        </w:rPr>
        <w:t xml:space="preserve">The Holding Company for Biological Products &amp; Vaccines (VACSERA), 51 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8"/>
          <w:szCs w:val="28"/>
        </w:rPr>
      </w:pPr>
      <w:r w:rsidRPr="003E15E7">
        <w:rPr>
          <w:rFonts w:ascii="AdvCAECI-R" w:hAnsi="AdvCAECI-R" w:cs="AdvCAECI-R"/>
          <w:b/>
          <w:bCs/>
          <w:sz w:val="28"/>
          <w:szCs w:val="28"/>
        </w:rPr>
        <w:t>A B S T R A C T</w:t>
      </w:r>
    </w:p>
    <w:p w:rsid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I" w:hAnsi="AdvCAECI-I" w:cs="AdvCAECI-I"/>
          <w:b/>
          <w:bCs/>
          <w:sz w:val="28"/>
          <w:szCs w:val="28"/>
          <w:rtl/>
        </w:rPr>
      </w:pP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  <w:rtl/>
        </w:rPr>
      </w:pPr>
      <w:r w:rsidRPr="003E15E7">
        <w:rPr>
          <w:rFonts w:ascii="AdvCAECI-I" w:hAnsi="AdvCAECI-I" w:cs="AdvCAECI-I"/>
          <w:b/>
          <w:bCs/>
          <w:sz w:val="24"/>
          <w:szCs w:val="24"/>
        </w:rPr>
        <w:t xml:space="preserve">Aim: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Diabetic nephropathy (DN) is considered as one of the diabetic complications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affectingup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to 40% of patients with type 1 or type </w:t>
      </w:r>
      <w:proofErr w:type="gramStart"/>
      <w:r w:rsidRPr="003E15E7">
        <w:rPr>
          <w:rFonts w:ascii="AdvCAECI-R" w:hAnsi="AdvCAECI-R" w:cs="AdvCAECI-R"/>
          <w:b/>
          <w:bCs/>
          <w:sz w:val="24"/>
          <w:szCs w:val="24"/>
        </w:rPr>
        <w:t>2 diabetes</w:t>
      </w:r>
      <w:proofErr w:type="gram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. In clinical practice, the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frequentlyused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markers of renal disease and progression are serum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creatinine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>, estimated glomerular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filtration rate (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eGFR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>) and albuminuria.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</w:rPr>
      </w:pP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The aim of this study is to determine new biomarkers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in human serum which are promising for early detection of DN.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I" w:hAnsi="AdvCAECI-I" w:cs="AdvCAECI-I"/>
          <w:b/>
          <w:bCs/>
          <w:sz w:val="24"/>
          <w:szCs w:val="24"/>
          <w:rtl/>
        </w:rPr>
      </w:pP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  <w:rtl/>
        </w:rPr>
      </w:pPr>
      <w:r w:rsidRPr="003E15E7">
        <w:rPr>
          <w:rFonts w:ascii="AdvCAECI-I" w:hAnsi="AdvCAECI-I" w:cs="AdvCAECI-I"/>
          <w:b/>
          <w:bCs/>
          <w:sz w:val="24"/>
          <w:szCs w:val="24"/>
        </w:rPr>
        <w:t xml:space="preserve">Methods: </w:t>
      </w:r>
      <w:r w:rsidRPr="003E15E7">
        <w:rPr>
          <w:rFonts w:ascii="AdvCAECI-R" w:hAnsi="AdvCAECI-R" w:cs="AdvCAECI-R"/>
          <w:b/>
          <w:bCs/>
          <w:sz w:val="24"/>
          <w:szCs w:val="24"/>
        </w:rPr>
        <w:t>This study included 50 patients with type 2 diabetes mellitus (T2DM) and 25 clinically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healthy individuals. The patients were divided into two groups; group I included 25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T2DM patients with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normoalbuminuria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>, and group II consisted of 25 T2DM patients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with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microalbuminuria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. 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</w:rPr>
      </w:pP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In all groups, neutrophil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gelatinase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-associated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lipocalin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(NGAL),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PSMP13" w:hAnsi="AdvPSMP13" w:cs="AdvPSMP13"/>
          <w:b/>
          <w:bCs/>
          <w:sz w:val="24"/>
          <w:szCs w:val="24"/>
        </w:rPr>
        <w:t>b</w:t>
      </w:r>
      <w:r w:rsidRPr="003E15E7">
        <w:rPr>
          <w:rFonts w:ascii="AdvCAECI-R" w:hAnsi="AdvCAECI-R" w:cs="AdvCAECI-R"/>
          <w:b/>
          <w:bCs/>
          <w:sz w:val="24"/>
          <w:szCs w:val="24"/>
        </w:rPr>
        <w:t>-trace protein (</w:t>
      </w:r>
      <w:proofErr w:type="spellStart"/>
      <w:r w:rsidRPr="003E15E7">
        <w:rPr>
          <w:rFonts w:ascii="AdvPSMP13" w:hAnsi="AdvPSMP13" w:cs="AdvPSMP13"/>
          <w:b/>
          <w:bCs/>
          <w:sz w:val="24"/>
          <w:szCs w:val="24"/>
        </w:rPr>
        <w:t>b</w:t>
      </w:r>
      <w:r w:rsidRPr="003E15E7">
        <w:rPr>
          <w:rFonts w:ascii="AdvCAECI-R" w:hAnsi="AdvCAECI-R" w:cs="AdvCAECI-R"/>
          <w:b/>
          <w:bCs/>
          <w:sz w:val="24"/>
          <w:szCs w:val="24"/>
        </w:rPr>
        <w:t>TP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>) and microRNA- 130b (miR-130b) were estimated.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I" w:hAnsi="AdvCAECI-I" w:cs="AdvCAECI-I"/>
          <w:b/>
          <w:bCs/>
          <w:sz w:val="24"/>
          <w:szCs w:val="24"/>
          <w:rtl/>
        </w:rPr>
      </w:pP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  <w:rtl/>
        </w:rPr>
      </w:pPr>
      <w:r w:rsidRPr="003E15E7">
        <w:rPr>
          <w:rFonts w:ascii="AdvCAECI-I" w:hAnsi="AdvCAECI-I" w:cs="AdvCAECI-I"/>
          <w:b/>
          <w:bCs/>
          <w:sz w:val="24"/>
          <w:szCs w:val="24"/>
        </w:rPr>
        <w:t xml:space="preserve">Results: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The serum levels of NGAL and </w:t>
      </w:r>
      <w:proofErr w:type="spellStart"/>
      <w:r w:rsidRPr="003E15E7">
        <w:rPr>
          <w:rFonts w:ascii="AdvPSMP13" w:hAnsi="AdvPSMP13" w:cs="AdvPSMP13"/>
          <w:b/>
          <w:bCs/>
          <w:sz w:val="24"/>
          <w:szCs w:val="24"/>
        </w:rPr>
        <w:t>b</w:t>
      </w:r>
      <w:r w:rsidRPr="003E15E7">
        <w:rPr>
          <w:rFonts w:ascii="AdvCAECI-R" w:hAnsi="AdvCAECI-R" w:cs="AdvCAECI-R"/>
          <w:b/>
          <w:bCs/>
          <w:sz w:val="24"/>
          <w:szCs w:val="24"/>
        </w:rPr>
        <w:t>TP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were significantly elevated in T2DM patients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with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microalbuminuria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(group II) compared with T2DM patients with </w:t>
      </w:r>
      <w:proofErr w:type="spellStart"/>
      <w:r w:rsidRPr="003E15E7">
        <w:rPr>
          <w:rFonts w:ascii="AdvCAECI-R" w:hAnsi="AdvCAECI-R" w:cs="AdvCAECI-R"/>
          <w:b/>
          <w:bCs/>
          <w:sz w:val="24"/>
          <w:szCs w:val="24"/>
        </w:rPr>
        <w:t>normoalbuminuria</w:t>
      </w:r>
      <w:proofErr w:type="spellEnd"/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(group I) and control subjects but there was no significant difference between group I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and control subjects. 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  <w:rtl/>
        </w:rPr>
      </w:pP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</w:rPr>
      </w:pPr>
      <w:r w:rsidRPr="003E15E7">
        <w:rPr>
          <w:rFonts w:ascii="AdvCAECI-R" w:hAnsi="AdvCAECI-R" w:cs="AdvCAECI-R"/>
          <w:b/>
          <w:bCs/>
          <w:sz w:val="24"/>
          <w:szCs w:val="24"/>
        </w:rPr>
        <w:t>Serum miR-130b level was significantly decreased in patients with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T2DM (groups I and II) compared with healthy control subjects, with a higher decrease in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their levels in group II compared with group I.</w:t>
      </w: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I" w:hAnsi="AdvCAECI-I" w:cs="AdvCAECI-I"/>
          <w:b/>
          <w:bCs/>
          <w:sz w:val="24"/>
          <w:szCs w:val="24"/>
          <w:rtl/>
        </w:rPr>
      </w:pPr>
    </w:p>
    <w:p w:rsidR="003E15E7" w:rsidRPr="003E15E7" w:rsidRDefault="003E15E7" w:rsidP="003E15E7">
      <w:pPr>
        <w:autoSpaceDE w:val="0"/>
        <w:autoSpaceDN w:val="0"/>
        <w:adjustRightInd w:val="0"/>
        <w:spacing w:after="0" w:line="240" w:lineRule="auto"/>
        <w:rPr>
          <w:rFonts w:ascii="AdvCAECI-R" w:hAnsi="AdvCAECI-R" w:cs="AdvCAECI-R"/>
          <w:b/>
          <w:bCs/>
          <w:sz w:val="24"/>
          <w:szCs w:val="24"/>
        </w:rPr>
      </w:pPr>
      <w:r w:rsidRPr="003E15E7">
        <w:rPr>
          <w:rFonts w:ascii="AdvCAECI-I" w:hAnsi="AdvCAECI-I" w:cs="AdvCAECI-I"/>
          <w:b/>
          <w:bCs/>
          <w:sz w:val="24"/>
          <w:szCs w:val="24"/>
        </w:rPr>
        <w:t xml:space="preserve">Conclusion: </w:t>
      </w:r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Our results suggest that serum NGAL and </w:t>
      </w:r>
      <w:proofErr w:type="spellStart"/>
      <w:r w:rsidRPr="003E15E7">
        <w:rPr>
          <w:rFonts w:ascii="AdvPSMP13" w:hAnsi="AdvPSMP13" w:cs="AdvPSMP13"/>
          <w:b/>
          <w:bCs/>
          <w:sz w:val="24"/>
          <w:szCs w:val="24"/>
        </w:rPr>
        <w:t>b</w:t>
      </w:r>
      <w:r w:rsidRPr="003E15E7">
        <w:rPr>
          <w:rFonts w:ascii="AdvCAECI-R" w:hAnsi="AdvCAECI-R" w:cs="AdvCAECI-R"/>
          <w:b/>
          <w:bCs/>
          <w:sz w:val="24"/>
          <w:szCs w:val="24"/>
        </w:rPr>
        <w:t>TP</w:t>
      </w:r>
      <w:proofErr w:type="spell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as tubular and glomerular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  <w:r w:rsidRPr="003E15E7">
        <w:rPr>
          <w:rFonts w:ascii="AdvCAECI-R" w:hAnsi="AdvCAECI-R" w:cs="AdvCAECI-R"/>
          <w:b/>
          <w:bCs/>
          <w:sz w:val="24"/>
          <w:szCs w:val="24"/>
        </w:rPr>
        <w:t>markers respectively, together with serum miR-130b may be independent and reliable</w:t>
      </w:r>
      <w:r w:rsidRPr="003E15E7">
        <w:rPr>
          <w:rFonts w:ascii="AdvCAECI-R" w:hAnsi="AdvCAECI-R" w:cs="AdvCAECI-R" w:hint="cs"/>
          <w:b/>
          <w:bCs/>
          <w:sz w:val="24"/>
          <w:szCs w:val="24"/>
          <w:rtl/>
        </w:rPr>
        <w:t xml:space="preserve"> </w:t>
      </w:r>
    </w:p>
    <w:p w:rsidR="005E4261" w:rsidRPr="003E15E7" w:rsidRDefault="003E15E7" w:rsidP="003E15E7">
      <w:pPr>
        <w:rPr>
          <w:b/>
          <w:bCs/>
          <w:sz w:val="24"/>
          <w:szCs w:val="24"/>
          <w:rtl/>
          <w:lang w:bidi="ar-EG"/>
        </w:rPr>
      </w:pPr>
      <w:proofErr w:type="gramStart"/>
      <w:r w:rsidRPr="003E15E7">
        <w:rPr>
          <w:rFonts w:ascii="AdvCAECI-R" w:hAnsi="AdvCAECI-R" w:cs="AdvCAECI-R"/>
          <w:b/>
          <w:bCs/>
          <w:sz w:val="24"/>
          <w:szCs w:val="24"/>
        </w:rPr>
        <w:t>biomarkers</w:t>
      </w:r>
      <w:proofErr w:type="gramEnd"/>
      <w:r w:rsidRPr="003E15E7">
        <w:rPr>
          <w:rFonts w:ascii="AdvCAECI-R" w:hAnsi="AdvCAECI-R" w:cs="AdvCAECI-R"/>
          <w:b/>
          <w:bCs/>
          <w:sz w:val="24"/>
          <w:szCs w:val="24"/>
        </w:rPr>
        <w:t xml:space="preserve"> for early detection of DN in patients with T2DM</w:t>
      </w:r>
    </w:p>
    <w:sectPr w:rsidR="005E4261" w:rsidRPr="003E15E7" w:rsidSect="00492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CAECI-H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CAECI-B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CAECI-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CAECI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CAECI-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MP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261"/>
    <w:rsid w:val="003E15E7"/>
    <w:rsid w:val="004770E7"/>
    <w:rsid w:val="004923F9"/>
    <w:rsid w:val="005E4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Tarek Motawi</dc:creator>
  <cp:lastModifiedBy>Asia Pacific Gereatrics</cp:lastModifiedBy>
  <cp:revision>2</cp:revision>
  <dcterms:created xsi:type="dcterms:W3CDTF">2022-11-30T05:10:00Z</dcterms:created>
  <dcterms:modified xsi:type="dcterms:W3CDTF">2022-11-30T05:10:00Z</dcterms:modified>
</cp:coreProperties>
</file>