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45F3C" w14:textId="77777777" w:rsidR="00E552D3" w:rsidRPr="00261A16" w:rsidRDefault="00000000" w:rsidP="00261A16">
      <w:pPr>
        <w:spacing w:before="170" w:after="0" w:line="400" w:lineRule="auto"/>
        <w:jc w:val="both"/>
        <w:rPr>
          <w:rFonts w:ascii="Times New Roman" w:eastAsia="Minion Pro" w:hAnsi="Times New Roman" w:cs="Times New Roman"/>
          <w:b/>
          <w:sz w:val="28"/>
          <w:szCs w:val="28"/>
        </w:rPr>
      </w:pPr>
      <w:r w:rsidRPr="00261A16">
        <w:rPr>
          <w:rFonts w:ascii="Times New Roman" w:eastAsia="Minion Pro" w:hAnsi="Times New Roman" w:cs="Times New Roman"/>
          <w:b/>
          <w:sz w:val="28"/>
          <w:szCs w:val="28"/>
        </w:rPr>
        <w:t xml:space="preserve">Utility of CholIndex and Castelli risk indices in diabetes mellitus assessement </w:t>
      </w:r>
    </w:p>
    <w:p w14:paraId="00263028" w14:textId="740B5A1B" w:rsidR="00E552D3" w:rsidRPr="00261A16" w:rsidRDefault="00000000" w:rsidP="00261A16">
      <w:pPr>
        <w:spacing w:after="0" w:line="240" w:lineRule="auto"/>
        <w:jc w:val="both"/>
        <w:rPr>
          <w:rFonts w:ascii="Times New Roman" w:eastAsia="Arial" w:hAnsi="Times New Roman" w:cs="Times New Roman"/>
          <w:b/>
          <w:bCs/>
          <w:sz w:val="24"/>
          <w:szCs w:val="24"/>
        </w:rPr>
      </w:pPr>
      <w:r w:rsidRPr="00261A16">
        <w:rPr>
          <w:rFonts w:ascii="Times New Roman" w:eastAsia="Arial" w:hAnsi="Times New Roman" w:cs="Times New Roman"/>
          <w:b/>
          <w:bCs/>
          <w:sz w:val="24"/>
          <w:szCs w:val="24"/>
        </w:rPr>
        <w:t>Simona Opris</w:t>
      </w:r>
      <w:r w:rsidR="00261A16">
        <w:rPr>
          <w:rFonts w:ascii="Times New Roman" w:eastAsia="Arial" w:hAnsi="Times New Roman" w:cs="Times New Roman"/>
          <w:b/>
          <w:bCs/>
          <w:sz w:val="24"/>
          <w:szCs w:val="24"/>
        </w:rPr>
        <w:t xml:space="preserve"> </w:t>
      </w:r>
      <w:r w:rsidR="00261A16" w:rsidRPr="00261A16">
        <w:rPr>
          <w:rFonts w:ascii="Times New Roman" w:eastAsia="Arial" w:hAnsi="Times New Roman" w:cs="Times New Roman"/>
          <w:sz w:val="24"/>
          <w:szCs w:val="24"/>
        </w:rPr>
        <w:t>and</w:t>
      </w:r>
      <w:r w:rsidR="00261A16">
        <w:rPr>
          <w:rFonts w:ascii="Times New Roman" w:eastAsia="Arial" w:hAnsi="Times New Roman" w:cs="Times New Roman"/>
          <w:b/>
          <w:bCs/>
          <w:sz w:val="24"/>
          <w:szCs w:val="24"/>
        </w:rPr>
        <w:t xml:space="preserve"> </w:t>
      </w:r>
      <w:r w:rsidRPr="00261A16">
        <w:rPr>
          <w:rFonts w:ascii="Times New Roman" w:eastAsia="Arial" w:hAnsi="Times New Roman" w:cs="Times New Roman"/>
          <w:b/>
          <w:bCs/>
          <w:sz w:val="24"/>
          <w:szCs w:val="24"/>
        </w:rPr>
        <w:t>Gianina Constantin</w:t>
      </w:r>
    </w:p>
    <w:p w14:paraId="54121A37" w14:textId="77777777" w:rsidR="00E552D3" w:rsidRPr="00261A16" w:rsidRDefault="00E552D3" w:rsidP="00261A16">
      <w:pPr>
        <w:spacing w:after="0" w:line="240" w:lineRule="auto"/>
        <w:jc w:val="both"/>
        <w:rPr>
          <w:rFonts w:ascii="Times New Roman" w:eastAsia="Arial" w:hAnsi="Times New Roman" w:cs="Times New Roman"/>
          <w:sz w:val="24"/>
          <w:szCs w:val="24"/>
        </w:rPr>
      </w:pPr>
    </w:p>
    <w:p w14:paraId="558485D9" w14:textId="77777777" w:rsidR="00E552D3" w:rsidRPr="00261A16" w:rsidRDefault="00000000" w:rsidP="00261A16">
      <w:pPr>
        <w:spacing w:after="0" w:line="240" w:lineRule="auto"/>
        <w:jc w:val="both"/>
        <w:rPr>
          <w:rFonts w:ascii="Times New Roman" w:eastAsia="Arial" w:hAnsi="Times New Roman" w:cs="Times New Roman"/>
          <w:sz w:val="24"/>
          <w:szCs w:val="24"/>
        </w:rPr>
      </w:pPr>
      <w:r w:rsidRPr="00261A16">
        <w:rPr>
          <w:rFonts w:ascii="Times New Roman" w:eastAsia="Arial" w:hAnsi="Times New Roman" w:cs="Times New Roman"/>
          <w:sz w:val="24"/>
          <w:szCs w:val="24"/>
        </w:rPr>
        <w:t>Simona Opris Medical Biochemist, Senior Researcher</w:t>
      </w:r>
    </w:p>
    <w:p w14:paraId="580FC433" w14:textId="77777777" w:rsidR="00E552D3" w:rsidRPr="00261A16" w:rsidRDefault="00000000" w:rsidP="00261A16">
      <w:pPr>
        <w:spacing w:after="0" w:line="240" w:lineRule="auto"/>
        <w:jc w:val="both"/>
        <w:rPr>
          <w:rFonts w:ascii="Times New Roman" w:eastAsia="Arial" w:hAnsi="Times New Roman" w:cs="Times New Roman"/>
          <w:sz w:val="24"/>
          <w:szCs w:val="24"/>
        </w:rPr>
      </w:pPr>
      <w:r w:rsidRPr="00261A16">
        <w:rPr>
          <w:rFonts w:ascii="Times New Roman" w:eastAsia="Arial" w:hAnsi="Times New Roman" w:cs="Times New Roman"/>
          <w:sz w:val="24"/>
          <w:szCs w:val="24"/>
        </w:rPr>
        <w:t xml:space="preserve">National Institute of Gerontology and Geriatrics "Ana Aslan" </w:t>
      </w:r>
    </w:p>
    <w:p w14:paraId="6FE6C7B8" w14:textId="728CA95E" w:rsidR="00E552D3" w:rsidRPr="00261A16" w:rsidRDefault="00000000" w:rsidP="00261A16">
      <w:pPr>
        <w:spacing w:after="0" w:line="240" w:lineRule="auto"/>
        <w:jc w:val="both"/>
        <w:rPr>
          <w:rFonts w:ascii="Times New Roman" w:eastAsia="Arial" w:hAnsi="Times New Roman" w:cs="Times New Roman"/>
          <w:sz w:val="24"/>
          <w:szCs w:val="24"/>
        </w:rPr>
      </w:pPr>
      <w:r w:rsidRPr="00261A16">
        <w:rPr>
          <w:rFonts w:ascii="Times New Roman" w:eastAsia="Arial" w:hAnsi="Times New Roman" w:cs="Times New Roman"/>
          <w:sz w:val="24"/>
          <w:szCs w:val="24"/>
        </w:rPr>
        <w:t xml:space="preserve">9 Caldarusani, Bucharest, Romania </w:t>
      </w:r>
    </w:p>
    <w:p w14:paraId="0388CCF7" w14:textId="77777777" w:rsidR="00E552D3" w:rsidRPr="00261A16" w:rsidRDefault="00E552D3" w:rsidP="00261A16">
      <w:pPr>
        <w:spacing w:after="0" w:line="240" w:lineRule="auto"/>
        <w:jc w:val="both"/>
        <w:rPr>
          <w:rFonts w:ascii="Times New Roman" w:eastAsia="Arial" w:hAnsi="Times New Roman" w:cs="Times New Roman"/>
          <w:sz w:val="24"/>
          <w:szCs w:val="24"/>
        </w:rPr>
      </w:pPr>
    </w:p>
    <w:p w14:paraId="587A5118" w14:textId="55156F5C" w:rsidR="00E552D3" w:rsidRDefault="00000000" w:rsidP="00261A16">
      <w:pPr>
        <w:spacing w:before="147" w:after="0" w:line="240" w:lineRule="auto"/>
        <w:jc w:val="center"/>
        <w:rPr>
          <w:rFonts w:ascii="Times New Roman" w:eastAsia="Arial" w:hAnsi="Times New Roman" w:cs="Times New Roman"/>
          <w:b/>
          <w:sz w:val="24"/>
          <w:szCs w:val="24"/>
        </w:rPr>
      </w:pPr>
      <w:r w:rsidRPr="00261A16">
        <w:rPr>
          <w:rFonts w:ascii="Times New Roman" w:eastAsia="Arial" w:hAnsi="Times New Roman" w:cs="Times New Roman"/>
          <w:b/>
          <w:sz w:val="24"/>
          <w:szCs w:val="24"/>
        </w:rPr>
        <w:t>Abstract</w:t>
      </w:r>
    </w:p>
    <w:p w14:paraId="325E0E9D" w14:textId="77777777" w:rsidR="00261A16" w:rsidRPr="00261A16" w:rsidRDefault="00261A16" w:rsidP="00261A16">
      <w:pPr>
        <w:spacing w:before="147" w:after="0" w:line="240" w:lineRule="auto"/>
        <w:jc w:val="center"/>
        <w:rPr>
          <w:rFonts w:ascii="Times New Roman" w:eastAsia="Arial" w:hAnsi="Times New Roman" w:cs="Times New Roman"/>
          <w:b/>
          <w:sz w:val="24"/>
          <w:szCs w:val="24"/>
        </w:rPr>
      </w:pPr>
    </w:p>
    <w:p w14:paraId="4ACBCCF2" w14:textId="77777777" w:rsidR="00261A16" w:rsidRDefault="00000000" w:rsidP="00261A16">
      <w:pPr>
        <w:spacing w:after="0" w:line="360" w:lineRule="auto"/>
        <w:jc w:val="both"/>
        <w:rPr>
          <w:rFonts w:ascii="Times New Roman" w:eastAsia="Tw Cen MT" w:hAnsi="Times New Roman" w:cs="Times New Roman"/>
          <w:sz w:val="24"/>
          <w:szCs w:val="24"/>
        </w:rPr>
      </w:pPr>
      <w:r w:rsidRPr="00261A16">
        <w:rPr>
          <w:rFonts w:ascii="Times New Roman" w:eastAsia="Tw Cen MT" w:hAnsi="Times New Roman" w:cs="Times New Roman"/>
          <w:b/>
          <w:bCs/>
          <w:sz w:val="24"/>
          <w:szCs w:val="24"/>
        </w:rPr>
        <w:t>Statement of the Problem:</w:t>
      </w:r>
      <w:r w:rsidRPr="00261A16">
        <w:rPr>
          <w:rFonts w:ascii="Times New Roman" w:eastAsia="Tw Cen MT" w:hAnsi="Times New Roman" w:cs="Times New Roman"/>
          <w:sz w:val="24"/>
          <w:szCs w:val="24"/>
        </w:rPr>
        <w:t xml:space="preserve"> Beyond classical lipid profile, there are new predicting risk fractions, which are investigated in the diabetes mellitus (DM) clinical setting, such as CholIndex, Castelli risk index I (CRI) and Castelli risk index II (CRII). The aim of the study was to find if CholIndex, CRI and CRII could be useful biomarkers in DM assessment. </w:t>
      </w:r>
    </w:p>
    <w:p w14:paraId="2930BB53" w14:textId="77777777" w:rsidR="00261A16" w:rsidRDefault="00261A16" w:rsidP="00261A16">
      <w:pPr>
        <w:spacing w:after="0" w:line="360" w:lineRule="auto"/>
        <w:jc w:val="both"/>
        <w:rPr>
          <w:rFonts w:ascii="Times New Roman" w:eastAsia="Tw Cen MT" w:hAnsi="Times New Roman" w:cs="Times New Roman"/>
          <w:sz w:val="24"/>
          <w:szCs w:val="24"/>
        </w:rPr>
      </w:pPr>
    </w:p>
    <w:p w14:paraId="053D76FE" w14:textId="77777777" w:rsidR="00261A16" w:rsidRDefault="00000000" w:rsidP="00261A16">
      <w:pPr>
        <w:spacing w:after="0" w:line="360" w:lineRule="auto"/>
        <w:jc w:val="both"/>
        <w:rPr>
          <w:rFonts w:ascii="Times New Roman" w:eastAsia="Tw Cen MT" w:hAnsi="Times New Roman" w:cs="Times New Roman"/>
          <w:sz w:val="24"/>
          <w:szCs w:val="24"/>
        </w:rPr>
      </w:pPr>
      <w:r w:rsidRPr="00261A16">
        <w:rPr>
          <w:rFonts w:ascii="Times New Roman" w:eastAsia="Tw Cen MT" w:hAnsi="Times New Roman" w:cs="Times New Roman"/>
          <w:b/>
          <w:bCs/>
          <w:sz w:val="24"/>
          <w:szCs w:val="24"/>
        </w:rPr>
        <w:t>Methodology:</w:t>
      </w:r>
      <w:r w:rsidRPr="00261A16">
        <w:rPr>
          <w:rFonts w:ascii="Times New Roman" w:eastAsia="Tw Cen MT" w:hAnsi="Times New Roman" w:cs="Times New Roman"/>
          <w:sz w:val="24"/>
          <w:szCs w:val="24"/>
        </w:rPr>
        <w:t xml:space="preserve"> Observational cross-sectional study was on 419 patients, over 65 years, of which 238 DM and 181 healthy control patients. CholIndex was calculated as LDL-HDL (TG&lt;400 mg/dL); LDL-HDL + 1/5 of TG (TG ≥ 400 mg/dL). CRI was calculated by TC/HDL and CRII by LDL/HDL. Cut-off limits: CholIndex &lt;2.07; CRI &lt;3; CRII &lt;3.3. </w:t>
      </w:r>
    </w:p>
    <w:p w14:paraId="0B25E8DC" w14:textId="77777777" w:rsidR="00261A16" w:rsidRDefault="00261A16" w:rsidP="00261A16">
      <w:pPr>
        <w:spacing w:after="0" w:line="360" w:lineRule="auto"/>
        <w:jc w:val="both"/>
        <w:rPr>
          <w:rFonts w:ascii="Times New Roman" w:eastAsia="Tw Cen MT" w:hAnsi="Times New Roman" w:cs="Times New Roman"/>
          <w:sz w:val="24"/>
          <w:szCs w:val="24"/>
        </w:rPr>
      </w:pPr>
    </w:p>
    <w:p w14:paraId="58D2DD6C" w14:textId="77777777" w:rsidR="00261A16" w:rsidRDefault="00000000" w:rsidP="00261A16">
      <w:pPr>
        <w:spacing w:after="0" w:line="360" w:lineRule="auto"/>
        <w:jc w:val="both"/>
        <w:rPr>
          <w:rFonts w:ascii="Times New Roman" w:eastAsia="Tw Cen MT" w:hAnsi="Times New Roman" w:cs="Times New Roman"/>
          <w:sz w:val="24"/>
          <w:szCs w:val="24"/>
        </w:rPr>
      </w:pPr>
      <w:r w:rsidRPr="00261A16">
        <w:rPr>
          <w:rFonts w:ascii="Times New Roman" w:eastAsia="Tw Cen MT" w:hAnsi="Times New Roman" w:cs="Times New Roman"/>
          <w:b/>
          <w:bCs/>
          <w:sz w:val="24"/>
          <w:szCs w:val="24"/>
        </w:rPr>
        <w:t>Findings:</w:t>
      </w:r>
      <w:r w:rsidRPr="00261A16">
        <w:rPr>
          <w:rFonts w:ascii="Times New Roman" w:eastAsia="Tw Cen MT" w:hAnsi="Times New Roman" w:cs="Times New Roman"/>
          <w:sz w:val="24"/>
          <w:szCs w:val="24"/>
        </w:rPr>
        <w:t xml:space="preserve"> Data revealed an increase of CholIndex (p&lt;0.05), CRI and CRII (p&lt;0.0001) at DM patients vs. control; low levels of HDL (p&lt;0.0001) and high of TG (p&lt;0.0001). Linear regression equations showed a positive correlation of CholIndex with CRI and CRII (p&lt;0.0001) at DM patients, besides also positive correlation with lipid panel. Diagnostic evaluation for CRI indicated: 62.77% assay accuracy, 82.77% sensitivity, 36.46% specificity, 56.80% disease prevalence and relative risk estimate=1.3. For CRII: 50.6% assay accuracy, 25.63% sensitivity, 83.43% specificity, 56.80% disease prevalence and relative risk estimate=2.06. Multivariate logistic regression analysis showed that patients with high CRI are 2.75 times more likely to have DM compared to those with low risk [OR 2.75, 95% CI: 1.75-4.33; p&lt;0.0001]. Also, patients with high risk CRII have 1.73 times to develop DM [OR 1.73, 95% CI: 1.06-2.82; p&lt;0.005]. At DM, even if TC and LDL were in reference range, risk indices were high. </w:t>
      </w:r>
    </w:p>
    <w:p w14:paraId="12CCC784" w14:textId="77777777" w:rsidR="00261A16" w:rsidRDefault="00261A16" w:rsidP="00261A16">
      <w:pPr>
        <w:spacing w:after="0" w:line="360" w:lineRule="auto"/>
        <w:jc w:val="both"/>
        <w:rPr>
          <w:rFonts w:ascii="Times New Roman" w:eastAsia="Tw Cen MT" w:hAnsi="Times New Roman" w:cs="Times New Roman"/>
          <w:sz w:val="24"/>
          <w:szCs w:val="24"/>
        </w:rPr>
      </w:pPr>
    </w:p>
    <w:p w14:paraId="6785ED7E" w14:textId="2C8559A5" w:rsidR="00E552D3" w:rsidRPr="00261A16" w:rsidRDefault="00000000" w:rsidP="00261A16">
      <w:pPr>
        <w:spacing w:after="0" w:line="360" w:lineRule="auto"/>
        <w:jc w:val="both"/>
        <w:rPr>
          <w:rFonts w:ascii="Times New Roman" w:eastAsia="Tw Cen MT" w:hAnsi="Times New Roman" w:cs="Times New Roman"/>
          <w:sz w:val="24"/>
          <w:szCs w:val="24"/>
        </w:rPr>
      </w:pPr>
      <w:r w:rsidRPr="00261A16">
        <w:rPr>
          <w:rFonts w:ascii="Times New Roman" w:eastAsia="Tw Cen MT" w:hAnsi="Times New Roman" w:cs="Times New Roman"/>
          <w:b/>
          <w:bCs/>
          <w:sz w:val="24"/>
          <w:szCs w:val="24"/>
        </w:rPr>
        <w:lastRenderedPageBreak/>
        <w:t>Conclusion &amp; Significance:</w:t>
      </w:r>
      <w:r w:rsidRPr="00261A16">
        <w:rPr>
          <w:rFonts w:ascii="Times New Roman" w:eastAsia="Tw Cen MT" w:hAnsi="Times New Roman" w:cs="Times New Roman"/>
          <w:sz w:val="24"/>
          <w:szCs w:val="24"/>
        </w:rPr>
        <w:t xml:space="preserve"> There is a certain correlation between CholIndex, CRI, CRII and DM, the higher the risk the more likely it is to develop DM. So, studied indices could be useful and reliable biomarkers for DM assessement.</w:t>
      </w:r>
    </w:p>
    <w:p w14:paraId="17F4EA92" w14:textId="77777777" w:rsidR="00E552D3" w:rsidRPr="00261A16" w:rsidRDefault="00E552D3" w:rsidP="00261A16">
      <w:pPr>
        <w:spacing w:before="90" w:after="0" w:line="280" w:lineRule="auto"/>
        <w:ind w:left="100"/>
        <w:jc w:val="both"/>
        <w:rPr>
          <w:rFonts w:ascii="Times New Roman" w:eastAsia="Tw Cen MT" w:hAnsi="Times New Roman" w:cs="Times New Roman"/>
          <w:sz w:val="24"/>
          <w:szCs w:val="24"/>
        </w:rPr>
      </w:pPr>
    </w:p>
    <w:p w14:paraId="33AB5274" w14:textId="77777777" w:rsidR="00261A16" w:rsidRDefault="00000000" w:rsidP="00261A16">
      <w:pPr>
        <w:spacing w:after="0" w:line="240" w:lineRule="auto"/>
        <w:jc w:val="both"/>
        <w:rPr>
          <w:rFonts w:ascii="Times New Roman" w:eastAsia="Arial" w:hAnsi="Times New Roman" w:cs="Times New Roman"/>
          <w:b/>
          <w:sz w:val="24"/>
          <w:szCs w:val="24"/>
        </w:rPr>
      </w:pPr>
      <w:r w:rsidRPr="00261A16">
        <w:rPr>
          <w:rFonts w:ascii="Times New Roman" w:eastAsia="Arial" w:hAnsi="Times New Roman" w:cs="Times New Roman"/>
          <w:b/>
          <w:sz w:val="24"/>
          <w:szCs w:val="24"/>
        </w:rPr>
        <w:t>Recent Publications</w:t>
      </w:r>
    </w:p>
    <w:p w14:paraId="29D796D1" w14:textId="550ECBBF" w:rsidR="00E552D3" w:rsidRPr="00261A16" w:rsidRDefault="00000000" w:rsidP="00261A16">
      <w:pPr>
        <w:spacing w:after="0" w:line="240" w:lineRule="auto"/>
        <w:jc w:val="both"/>
        <w:rPr>
          <w:rFonts w:ascii="Times New Roman" w:eastAsia="Arial" w:hAnsi="Times New Roman" w:cs="Times New Roman"/>
          <w:b/>
          <w:sz w:val="24"/>
          <w:szCs w:val="24"/>
        </w:rPr>
      </w:pPr>
      <w:r w:rsidRPr="00261A16">
        <w:rPr>
          <w:rFonts w:ascii="Times New Roman" w:eastAsia="Arial" w:hAnsi="Times New Roman" w:cs="Times New Roman"/>
          <w:b/>
          <w:sz w:val="24"/>
          <w:szCs w:val="24"/>
        </w:rPr>
        <w:t xml:space="preserve"> </w:t>
      </w:r>
    </w:p>
    <w:p w14:paraId="4EC1971B" w14:textId="77777777" w:rsidR="00E552D3" w:rsidRPr="00261A16" w:rsidRDefault="00000000" w:rsidP="00261A16">
      <w:pPr>
        <w:pStyle w:val="ListParagraph"/>
        <w:numPr>
          <w:ilvl w:val="0"/>
          <w:numId w:val="3"/>
        </w:numPr>
        <w:spacing w:after="0" w:line="360" w:lineRule="auto"/>
        <w:jc w:val="both"/>
        <w:rPr>
          <w:rFonts w:ascii="Times New Roman" w:eastAsia="Calibri" w:hAnsi="Times New Roman" w:cs="Times New Roman"/>
          <w:sz w:val="24"/>
          <w:szCs w:val="24"/>
        </w:rPr>
      </w:pPr>
      <w:r w:rsidRPr="00261A16">
        <w:rPr>
          <w:rFonts w:ascii="Times New Roman" w:eastAsia="Calibri" w:hAnsi="Times New Roman" w:cs="Times New Roman"/>
          <w:sz w:val="24"/>
          <w:szCs w:val="24"/>
        </w:rPr>
        <w:t xml:space="preserve">Onur Akpınar, Abdi Bozkurt, Esmeray Acartürk, Gülşah Seydaoğlu. A new index (CHOLINDEX) in detecting coronary artery disease risk. </w:t>
      </w:r>
      <w:r w:rsidRPr="00261A16">
        <w:rPr>
          <w:rFonts w:ascii="Times New Roman" w:eastAsia="Calibri" w:hAnsi="Times New Roman" w:cs="Times New Roman"/>
          <w:i/>
          <w:iCs/>
          <w:sz w:val="24"/>
          <w:szCs w:val="24"/>
        </w:rPr>
        <w:t>Anadolu Kardiyol Derg</w:t>
      </w:r>
      <w:r w:rsidRPr="00261A16">
        <w:rPr>
          <w:rFonts w:ascii="Times New Roman" w:eastAsia="Calibri" w:hAnsi="Times New Roman" w:cs="Times New Roman"/>
          <w:sz w:val="24"/>
          <w:szCs w:val="24"/>
        </w:rPr>
        <w:t>, 2</w:t>
      </w:r>
      <w:r w:rsidRPr="00261A16">
        <w:rPr>
          <w:rFonts w:ascii="Times New Roman" w:eastAsia="Calibri" w:hAnsi="Times New Roman" w:cs="Times New Roman"/>
          <w:vanish/>
          <w:sz w:val="24"/>
          <w:szCs w:val="24"/>
        </w:rPr>
        <w:t xml:space="preserve">HYPERLINK "https://pubmed.ncbi.nlm.nih.gov/?term=%22Anadolu+Kardiyol+Derg%22%5Bjour%5D&amp;sort=date&amp;sort_order=desc" </w:t>
      </w:r>
      <w:r w:rsidRPr="00261A16">
        <w:rPr>
          <w:rFonts w:ascii="Times New Roman" w:eastAsia="Calibri" w:hAnsi="Times New Roman" w:cs="Times New Roman"/>
          <w:sz w:val="24"/>
          <w:szCs w:val="24"/>
        </w:rPr>
        <w:t>013, Jun;13(4):315-9.</w:t>
      </w:r>
    </w:p>
    <w:p w14:paraId="73CED613" w14:textId="77777777" w:rsidR="00E552D3" w:rsidRPr="00261A16" w:rsidRDefault="00000000" w:rsidP="00261A16">
      <w:pPr>
        <w:pStyle w:val="ListParagraph"/>
        <w:numPr>
          <w:ilvl w:val="0"/>
          <w:numId w:val="3"/>
        </w:numPr>
        <w:spacing w:after="0" w:line="360" w:lineRule="auto"/>
        <w:jc w:val="both"/>
        <w:rPr>
          <w:rFonts w:ascii="Times New Roman" w:eastAsia="Calibri" w:hAnsi="Times New Roman" w:cs="Times New Roman"/>
          <w:sz w:val="24"/>
          <w:szCs w:val="24"/>
        </w:rPr>
      </w:pPr>
      <w:r w:rsidRPr="00261A16">
        <w:rPr>
          <w:rFonts w:ascii="Times New Roman" w:eastAsia="Calibri" w:hAnsi="Times New Roman" w:cs="Times New Roman"/>
          <w:sz w:val="24"/>
          <w:szCs w:val="24"/>
        </w:rPr>
        <w:t xml:space="preserve">Roghayeh Molani Gol, Maryam Rafraf, Mohammad Asghari Jafarabadi. Assessment of atherogenic indices and lipid ratios in the apparently healthy women aged 30–55 years. </w:t>
      </w:r>
      <w:r w:rsidRPr="00261A16">
        <w:rPr>
          <w:rFonts w:ascii="Times New Roman" w:eastAsia="Calibri" w:hAnsi="Times New Roman" w:cs="Times New Roman"/>
          <w:i/>
          <w:iCs/>
          <w:sz w:val="24"/>
          <w:szCs w:val="24"/>
        </w:rPr>
        <w:t>Arterial Hypertension</w:t>
      </w:r>
      <w:r w:rsidRPr="00261A16">
        <w:rPr>
          <w:rFonts w:ascii="Times New Roman" w:eastAsia="Calibri" w:hAnsi="Times New Roman" w:cs="Times New Roman"/>
          <w:sz w:val="24"/>
          <w:szCs w:val="24"/>
        </w:rPr>
        <w:t xml:space="preserve"> 2021;25(4):172-177.</w:t>
      </w:r>
    </w:p>
    <w:p w14:paraId="60F78CFD" w14:textId="77777777" w:rsidR="00E552D3" w:rsidRPr="00261A16" w:rsidRDefault="00000000" w:rsidP="00261A16">
      <w:pPr>
        <w:pStyle w:val="ListParagraph"/>
        <w:numPr>
          <w:ilvl w:val="0"/>
          <w:numId w:val="3"/>
        </w:numPr>
        <w:spacing w:after="0" w:line="360" w:lineRule="auto"/>
        <w:jc w:val="both"/>
        <w:rPr>
          <w:rFonts w:ascii="Times New Roman" w:eastAsia="Calibri" w:hAnsi="Times New Roman" w:cs="Times New Roman"/>
          <w:sz w:val="24"/>
          <w:szCs w:val="24"/>
        </w:rPr>
      </w:pPr>
      <w:r w:rsidRPr="00261A16">
        <w:rPr>
          <w:rFonts w:ascii="Times New Roman" w:eastAsia="Calibri" w:hAnsi="Times New Roman" w:cs="Times New Roman"/>
          <w:sz w:val="24"/>
          <w:szCs w:val="24"/>
        </w:rPr>
        <w:t xml:space="preserve">Athyros VG, Doumas M, Imprialos KP, et al. Diabetes and lipid metabolism. </w:t>
      </w:r>
      <w:r w:rsidRPr="00261A16">
        <w:rPr>
          <w:rFonts w:ascii="Times New Roman" w:eastAsia="Calibri" w:hAnsi="Times New Roman" w:cs="Times New Roman"/>
          <w:i/>
          <w:iCs/>
          <w:sz w:val="24"/>
          <w:szCs w:val="24"/>
        </w:rPr>
        <w:t>Hormones</w:t>
      </w:r>
      <w:r w:rsidRPr="00261A16">
        <w:rPr>
          <w:rFonts w:ascii="Times New Roman" w:eastAsia="Calibri" w:hAnsi="Times New Roman" w:cs="Times New Roman"/>
          <w:sz w:val="24"/>
          <w:szCs w:val="24"/>
        </w:rPr>
        <w:t xml:space="preserve"> 2018, 17, 61–67.</w:t>
      </w:r>
    </w:p>
    <w:p w14:paraId="13E8A9F1" w14:textId="77777777" w:rsidR="00E552D3" w:rsidRPr="00261A16" w:rsidRDefault="00000000" w:rsidP="00261A16">
      <w:pPr>
        <w:pStyle w:val="ListParagraph"/>
        <w:numPr>
          <w:ilvl w:val="0"/>
          <w:numId w:val="3"/>
        </w:numPr>
        <w:spacing w:after="0" w:line="360" w:lineRule="auto"/>
        <w:jc w:val="both"/>
        <w:rPr>
          <w:rFonts w:ascii="Times New Roman" w:eastAsia="Calibri" w:hAnsi="Times New Roman" w:cs="Times New Roman"/>
          <w:sz w:val="24"/>
          <w:szCs w:val="24"/>
        </w:rPr>
      </w:pPr>
      <w:r w:rsidRPr="00261A16">
        <w:rPr>
          <w:rFonts w:ascii="Times New Roman" w:eastAsia="Calibri" w:hAnsi="Times New Roman" w:cs="Times New Roman"/>
          <w:sz w:val="24"/>
          <w:szCs w:val="24"/>
        </w:rPr>
        <w:t xml:space="preserve">Pusapati Madan Ranjit, Girija Sankar Guntuku, Ramesh Babu Pothineni. Comparison of lipid profile and new atherogenic indices among the coronary artery disease (CAD)-negative and -positive diabetic dyslipidemia subjects. </w:t>
      </w:r>
      <w:r w:rsidRPr="00261A16">
        <w:rPr>
          <w:rFonts w:ascii="Times New Roman" w:eastAsia="Calibri" w:hAnsi="Times New Roman" w:cs="Times New Roman"/>
          <w:i/>
          <w:iCs/>
          <w:sz w:val="24"/>
          <w:szCs w:val="24"/>
        </w:rPr>
        <w:t>International Journal of Medical Science and Public Health</w:t>
      </w:r>
      <w:r w:rsidRPr="00261A16">
        <w:rPr>
          <w:rFonts w:ascii="Times New Roman" w:eastAsia="Calibri" w:hAnsi="Times New Roman" w:cs="Times New Roman"/>
          <w:sz w:val="24"/>
          <w:szCs w:val="24"/>
        </w:rPr>
        <w:t xml:space="preserve"> 2015, 4, 10, 1574-1578.</w:t>
      </w:r>
    </w:p>
    <w:p w14:paraId="5FCC48D5" w14:textId="0D3FE93A" w:rsidR="00E552D3" w:rsidRPr="00261A16" w:rsidRDefault="00000000" w:rsidP="00261A16">
      <w:pPr>
        <w:pStyle w:val="ListParagraph"/>
        <w:numPr>
          <w:ilvl w:val="0"/>
          <w:numId w:val="3"/>
        </w:numPr>
        <w:spacing w:after="0" w:line="360" w:lineRule="auto"/>
        <w:jc w:val="both"/>
        <w:rPr>
          <w:rFonts w:ascii="Times New Roman" w:eastAsia="Calibri" w:hAnsi="Times New Roman" w:cs="Times New Roman"/>
          <w:sz w:val="24"/>
          <w:szCs w:val="24"/>
        </w:rPr>
      </w:pPr>
      <w:r w:rsidRPr="00261A16">
        <w:rPr>
          <w:rFonts w:ascii="Times New Roman" w:eastAsia="Calibri" w:hAnsi="Times New Roman" w:cs="Times New Roman"/>
          <w:sz w:val="24"/>
          <w:szCs w:val="24"/>
        </w:rPr>
        <w:t xml:space="preserve">Sagar B. Dugani, M. Vinayaga Moorthy, Chunying Li, et al. Association of Lipid, Inflammatory, and Metabolic Biomarkers With Age at Onset for Incident Coronary Heart Disease inWomen. </w:t>
      </w:r>
      <w:r w:rsidRPr="00261A16">
        <w:rPr>
          <w:rFonts w:ascii="Times New Roman" w:eastAsia="Calibri" w:hAnsi="Times New Roman" w:cs="Times New Roman"/>
          <w:i/>
          <w:iCs/>
          <w:sz w:val="24"/>
          <w:szCs w:val="24"/>
        </w:rPr>
        <w:t>JAMA Cardiol</w:t>
      </w:r>
      <w:r w:rsidRPr="00261A16">
        <w:rPr>
          <w:rFonts w:ascii="Times New Roman" w:eastAsia="Calibri" w:hAnsi="Times New Roman" w:cs="Times New Roman"/>
          <w:sz w:val="24"/>
          <w:szCs w:val="24"/>
        </w:rPr>
        <w:t xml:space="preserve"> 2021, 6(4), 437-447. doi:10.1001/jamacardio.2020.7073</w:t>
      </w:r>
    </w:p>
    <w:p w14:paraId="3B12FBC1" w14:textId="77777777" w:rsidR="00E552D3" w:rsidRPr="00261A16" w:rsidRDefault="00000000" w:rsidP="00261A16">
      <w:pPr>
        <w:pStyle w:val="ListParagraph"/>
        <w:numPr>
          <w:ilvl w:val="0"/>
          <w:numId w:val="3"/>
        </w:numPr>
        <w:spacing w:after="0" w:line="360" w:lineRule="auto"/>
        <w:jc w:val="both"/>
        <w:rPr>
          <w:rFonts w:ascii="Times New Roman" w:eastAsia="Calibri" w:hAnsi="Times New Roman" w:cs="Times New Roman"/>
          <w:sz w:val="24"/>
          <w:szCs w:val="24"/>
        </w:rPr>
      </w:pPr>
      <w:r w:rsidRPr="00261A16">
        <w:rPr>
          <w:rFonts w:ascii="Times New Roman" w:eastAsia="Calibri" w:hAnsi="Times New Roman" w:cs="Times New Roman"/>
          <w:sz w:val="24"/>
          <w:szCs w:val="24"/>
        </w:rPr>
        <w:t xml:space="preserve">Thomas Nestelberger, Jasper Boeddinghaus, Pedro Lopez-Ayala, et al. Cardiovascular Biomarkers in the Early Discrimination of Type 2 Myocardial Infarction. </w:t>
      </w:r>
      <w:r w:rsidRPr="00261A16">
        <w:rPr>
          <w:rFonts w:ascii="Times New Roman" w:eastAsia="Calibri" w:hAnsi="Times New Roman" w:cs="Times New Roman"/>
          <w:i/>
          <w:iCs/>
          <w:sz w:val="24"/>
          <w:szCs w:val="24"/>
        </w:rPr>
        <w:t>JAMA Cardiol</w:t>
      </w:r>
      <w:r w:rsidRPr="00261A16">
        <w:rPr>
          <w:rFonts w:ascii="Times New Roman" w:eastAsia="Calibri" w:hAnsi="Times New Roman" w:cs="Times New Roman"/>
          <w:sz w:val="24"/>
          <w:szCs w:val="24"/>
        </w:rPr>
        <w:t xml:space="preserve"> 2021 doi:10.1001/jamacardio.2021.0669</w:t>
      </w:r>
    </w:p>
    <w:p w14:paraId="6250F5ED" w14:textId="77777777" w:rsidR="00E552D3" w:rsidRPr="00261A16" w:rsidRDefault="00E552D3" w:rsidP="00261A16">
      <w:pPr>
        <w:spacing w:after="0" w:line="240" w:lineRule="auto"/>
        <w:jc w:val="both"/>
        <w:rPr>
          <w:rFonts w:ascii="Times New Roman" w:eastAsia="Calibri" w:hAnsi="Times New Roman" w:cs="Times New Roman"/>
          <w:sz w:val="24"/>
          <w:szCs w:val="24"/>
        </w:rPr>
      </w:pPr>
    </w:p>
    <w:p w14:paraId="2C59E05D" w14:textId="77777777" w:rsidR="00261A16" w:rsidRDefault="00000000" w:rsidP="00261A16">
      <w:pPr>
        <w:spacing w:before="92" w:after="0" w:line="240" w:lineRule="auto"/>
        <w:ind w:right="4234"/>
        <w:jc w:val="both"/>
        <w:rPr>
          <w:rFonts w:ascii="Times New Roman" w:eastAsia="Arial" w:hAnsi="Times New Roman" w:cs="Times New Roman"/>
          <w:b/>
          <w:bCs/>
          <w:sz w:val="24"/>
          <w:szCs w:val="24"/>
        </w:rPr>
      </w:pPr>
      <w:r w:rsidRPr="00261A16">
        <w:rPr>
          <w:rFonts w:ascii="Times New Roman" w:eastAsia="Arial" w:hAnsi="Times New Roman" w:cs="Times New Roman"/>
          <w:b/>
          <w:bCs/>
          <w:sz w:val="24"/>
          <w:szCs w:val="24"/>
        </w:rPr>
        <w:t>Biography</w:t>
      </w:r>
      <w:r w:rsidR="00261A16">
        <w:rPr>
          <w:rFonts w:ascii="Times New Roman" w:eastAsia="Arial" w:hAnsi="Times New Roman" w:cs="Times New Roman"/>
          <w:b/>
          <w:bCs/>
          <w:sz w:val="24"/>
          <w:szCs w:val="24"/>
        </w:rPr>
        <w:t>:</w:t>
      </w:r>
    </w:p>
    <w:p w14:paraId="6BDC6507" w14:textId="0F8CEC82" w:rsidR="00E552D3" w:rsidRPr="00261A16" w:rsidRDefault="00000000" w:rsidP="00261A16">
      <w:pPr>
        <w:spacing w:before="92" w:after="0" w:line="240" w:lineRule="auto"/>
        <w:ind w:right="4234"/>
        <w:jc w:val="both"/>
        <w:rPr>
          <w:rFonts w:ascii="Times New Roman" w:eastAsia="Arial" w:hAnsi="Times New Roman" w:cs="Times New Roman"/>
          <w:b/>
          <w:bCs/>
          <w:sz w:val="24"/>
          <w:szCs w:val="24"/>
        </w:rPr>
      </w:pPr>
      <w:r w:rsidRPr="00261A16">
        <w:rPr>
          <w:rFonts w:ascii="Times New Roman" w:eastAsia="Arial" w:hAnsi="Times New Roman" w:cs="Times New Roman"/>
          <w:b/>
          <w:bCs/>
          <w:sz w:val="24"/>
          <w:szCs w:val="24"/>
        </w:rPr>
        <w:t xml:space="preserve"> </w:t>
      </w:r>
    </w:p>
    <w:p w14:paraId="7C75314A" w14:textId="0E843523" w:rsidR="00E552D3" w:rsidRPr="00261A16" w:rsidRDefault="00000000" w:rsidP="00261A16">
      <w:pPr>
        <w:suppressAutoHyphens/>
        <w:spacing w:after="0" w:line="240" w:lineRule="auto"/>
        <w:jc w:val="both"/>
        <w:rPr>
          <w:rFonts w:ascii="Times New Roman" w:eastAsia="Minion Pro" w:hAnsi="Times New Roman" w:cs="Times New Roman"/>
          <w:sz w:val="24"/>
          <w:szCs w:val="24"/>
        </w:rPr>
      </w:pPr>
      <w:r w:rsidRPr="00261A16">
        <w:rPr>
          <w:rFonts w:ascii="Times New Roman" w:eastAsia="Arial" w:hAnsi="Times New Roman" w:cs="Times New Roman"/>
          <w:sz w:val="24"/>
          <w:szCs w:val="24"/>
        </w:rPr>
        <w:t>Simona Opris- Senior Scientific Researcher and Medical Principal Biochemist with expertise in biology of aging. Research fields: correlation of oxidative stress in normal and pathological aging; immunological investigation methods by ELISA; elucidation of induce age-modifications at cardiovascular pathology; assessment criterion of biological age by identification of some specific biological markers. She published 86 scientific papers (70 first author) in national and international scientific journals (ISI-12), 170 international congresses and 60 national congresses, 8 national research programs. Also, Editor Assistant at Romanian Journal of Gerontology and Geriatrics, member of OBBCSR and member of Romanian Society of Gerontology and Geriatrics.</w:t>
      </w:r>
    </w:p>
    <w:sectPr w:rsidR="00E552D3" w:rsidRPr="00261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36727"/>
    <w:multiLevelType w:val="multilevel"/>
    <w:tmpl w:val="11E4C4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A82CB9"/>
    <w:multiLevelType w:val="hybridMultilevel"/>
    <w:tmpl w:val="C326FD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76E804F0"/>
    <w:multiLevelType w:val="hybridMultilevel"/>
    <w:tmpl w:val="A0FA03B4"/>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16311499">
    <w:abstractNumId w:val="0"/>
  </w:num>
  <w:num w:numId="2" w16cid:durableId="256791561">
    <w:abstractNumId w:val="1"/>
  </w:num>
  <w:num w:numId="3" w16cid:durableId="352272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552D3"/>
    <w:rsid w:val="00261A16"/>
    <w:rsid w:val="00285A79"/>
    <w:rsid w:val="00E552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D29B8"/>
  <w15:docId w15:val="{24F32F5C-E2A0-49DB-8313-5A0121C37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A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Marine Biology</cp:lastModifiedBy>
  <cp:revision>3</cp:revision>
  <dcterms:created xsi:type="dcterms:W3CDTF">2022-11-29T12:41:00Z</dcterms:created>
  <dcterms:modified xsi:type="dcterms:W3CDTF">2022-11-29T12:45:00Z</dcterms:modified>
</cp:coreProperties>
</file>