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3BB" w:rsidRDefault="009B2BEF">
      <w:pPr>
        <w:spacing w:line="360" w:lineRule="auto"/>
        <w:ind w:leftChars="-405" w:left="-891"/>
        <w:jc w:val="center"/>
        <w:rPr>
          <w:rFonts w:ascii="Times New Roman" w:hAnsi="Times New Roman" w:cs="Times New Roman"/>
          <w:b/>
          <w:bCs/>
        </w:rPr>
      </w:pPr>
      <w:bookmarkStart w:id="0" w:name="_GoBack"/>
      <w:bookmarkEnd w:id="0"/>
      <w:r>
        <w:rPr>
          <w:rFonts w:ascii="Times New Roman" w:hAnsi="Times New Roman" w:cs="Times New Roman"/>
          <w:b/>
          <w:bCs/>
        </w:rPr>
        <w:t>Innervational Surgery for Supranuclear Monocular Elevation Deficiency</w:t>
      </w:r>
      <w:r>
        <w:t xml:space="preserve"> </w:t>
      </w:r>
      <w:r>
        <w:rPr>
          <w:rFonts w:ascii="Times New Roman" w:hAnsi="Times New Roman" w:cs="Times New Roman"/>
          <w:b/>
          <w:bCs/>
        </w:rPr>
        <w:t>with horizontal strabismus</w:t>
      </w:r>
      <w:r>
        <w:rPr>
          <w:rFonts w:ascii="Times New Roman" w:hAnsi="Times New Roman" w:cs="Times New Roman"/>
          <w:b/>
          <w:bCs/>
        </w:rPr>
        <w:t>：</w:t>
      </w:r>
    </w:p>
    <w:p w:rsidR="00E673BB" w:rsidRDefault="009B2BEF">
      <w:pPr>
        <w:spacing w:line="360" w:lineRule="auto"/>
        <w:ind w:leftChars="-405" w:left="-891"/>
        <w:jc w:val="center"/>
        <w:rPr>
          <w:rFonts w:ascii="Times New Roman" w:hAnsi="Times New Roman" w:cs="Times New Roman"/>
          <w:b/>
          <w:sz w:val="28"/>
          <w:szCs w:val="28"/>
        </w:rPr>
      </w:pPr>
      <w:r>
        <w:rPr>
          <w:rFonts w:ascii="Times New Roman" w:hAnsi="Times New Roman" w:cs="Times New Roman"/>
          <w:b/>
          <w:bCs/>
        </w:rPr>
        <w:t>a paediatric case report and review of the literature</w:t>
      </w:r>
    </w:p>
    <w:p w:rsidR="00E673BB" w:rsidRDefault="00E673BB">
      <w:pPr>
        <w:spacing w:line="360" w:lineRule="auto"/>
        <w:ind w:leftChars="-405" w:left="-891"/>
        <w:jc w:val="center"/>
        <w:rPr>
          <w:rFonts w:ascii="Times New Roman" w:hAnsi="Times New Roman" w:cs="Times New Roman"/>
          <w:b/>
          <w:sz w:val="28"/>
          <w:szCs w:val="28"/>
        </w:rPr>
      </w:pPr>
    </w:p>
    <w:p w:rsidR="00E673BB" w:rsidRDefault="00E673BB">
      <w:pPr>
        <w:pStyle w:val="BodyText"/>
        <w:rPr>
          <w:rFonts w:ascii="Arial"/>
          <w:sz w:val="20"/>
        </w:rPr>
      </w:pPr>
    </w:p>
    <w:p w:rsidR="00E673BB" w:rsidRDefault="009B2BEF">
      <w:pPr>
        <w:rPr>
          <w:rFonts w:ascii="Times New Roman" w:hAnsi="Times New Roman"/>
        </w:rPr>
      </w:pPr>
      <w:r>
        <w:rPr>
          <w:rFonts w:ascii="Times New Roman" w:hAnsi="Times New Roman"/>
        </w:rPr>
        <w:t>Lin Chen</w:t>
      </w:r>
      <w:r>
        <w:rPr>
          <w:rFonts w:asciiTheme="minorEastAsia" w:eastAsiaTheme="minorEastAsia" w:hAnsiTheme="minorEastAsia" w:hint="eastAsia"/>
          <w:lang w:eastAsia="zh-CN"/>
        </w:rPr>
        <w:t>，</w:t>
      </w:r>
      <w:r>
        <w:rPr>
          <w:rFonts w:ascii="Times New Roman" w:eastAsiaTheme="minorEastAsia" w:hAnsi="Times New Roman" w:hint="eastAsia"/>
          <w:lang w:eastAsia="zh-CN"/>
        </w:rPr>
        <w:t>M</w:t>
      </w:r>
      <w:r>
        <w:rPr>
          <w:rFonts w:ascii="Times New Roman" w:eastAsiaTheme="minorEastAsia" w:hAnsi="Times New Roman"/>
          <w:lang w:eastAsia="zh-CN"/>
        </w:rPr>
        <w:t xml:space="preserve">D, </w:t>
      </w:r>
      <w:r>
        <w:rPr>
          <w:rFonts w:ascii="Times New Roman" w:hAnsi="Times New Roman"/>
        </w:rPr>
        <w:t xml:space="preserve">Chongqing, China </w:t>
      </w:r>
    </w:p>
    <w:p w:rsidR="00E673BB" w:rsidRDefault="009B2BEF">
      <w:pPr>
        <w:pStyle w:val="Heading1"/>
        <w:spacing w:before="170"/>
        <w:ind w:left="0"/>
        <w:jc w:val="both"/>
        <w:rPr>
          <w:rFonts w:ascii="Times New Roman" w:eastAsiaTheme="minorEastAsia" w:hAnsi="Times New Roman" w:cs="Tw Cen MT"/>
          <w:b w:val="0"/>
          <w:bCs w:val="0"/>
          <w:sz w:val="22"/>
          <w:szCs w:val="22"/>
          <w:lang w:eastAsia="zh-CN"/>
        </w:rPr>
      </w:pPr>
      <w:bookmarkStart w:id="1" w:name="OLE_LINK45"/>
      <w:bookmarkStart w:id="2" w:name="OLE_LINK46"/>
      <w:r>
        <w:rPr>
          <w:rFonts w:ascii="Times New Roman" w:eastAsiaTheme="minorEastAsia" w:hAnsi="Times New Roman" w:cs="Tw Cen MT" w:hint="eastAsia"/>
          <w:b w:val="0"/>
          <w:bCs w:val="0"/>
          <w:sz w:val="22"/>
          <w:szCs w:val="22"/>
          <w:lang w:eastAsia="zh-CN"/>
        </w:rPr>
        <w:t>Xiao jiao Tang</w:t>
      </w:r>
      <w:bookmarkEnd w:id="1"/>
      <w:bookmarkEnd w:id="2"/>
      <w:r>
        <w:rPr>
          <w:rFonts w:ascii="Times New Roman" w:eastAsiaTheme="minorEastAsia" w:hAnsi="Times New Roman" w:cs="Tw Cen MT" w:hint="eastAsia"/>
          <w:b w:val="0"/>
          <w:bCs w:val="0"/>
          <w:sz w:val="22"/>
          <w:szCs w:val="22"/>
          <w:lang w:eastAsia="zh-CN"/>
        </w:rPr>
        <w:t xml:space="preserve">, MD, Chongqing, China </w:t>
      </w:r>
    </w:p>
    <w:p w:rsidR="00E673BB" w:rsidRDefault="00E673BB">
      <w:pPr>
        <w:rPr>
          <w:rFonts w:ascii="等线" w:eastAsia="等线" w:hAnsi="等线" w:cs="Times New Roman"/>
        </w:rPr>
      </w:pPr>
    </w:p>
    <w:p w:rsidR="00E673BB" w:rsidRDefault="00E673BB">
      <w:pPr>
        <w:rPr>
          <w:rFonts w:ascii="等线" w:eastAsiaTheme="minorEastAsia" w:hAnsi="等线" w:cs="Times New Roman"/>
          <w:lang w:eastAsia="zh-CN"/>
        </w:rPr>
      </w:pPr>
    </w:p>
    <w:p w:rsidR="00E673BB" w:rsidRDefault="00E673BB">
      <w:pPr>
        <w:rPr>
          <w:rFonts w:ascii="Arial"/>
          <w:sz w:val="21"/>
        </w:rPr>
        <w:sectPr w:rsidR="00E673BB">
          <w:footerReference w:type="default" r:id="rId9"/>
          <w:type w:val="continuous"/>
          <w:pgSz w:w="11910" w:h="16840"/>
          <w:pgMar w:top="995" w:right="600" w:bottom="840" w:left="620" w:header="0" w:footer="0" w:gutter="0"/>
          <w:cols w:space="720"/>
          <w:docGrid w:linePitch="299"/>
        </w:sectPr>
      </w:pPr>
    </w:p>
    <w:p w:rsidR="00E673BB" w:rsidRDefault="009B2BEF">
      <w:pPr>
        <w:pStyle w:val="Heading3"/>
        <w:spacing w:before="147"/>
        <w:jc w:val="both"/>
      </w:pPr>
      <w:r>
        <w:rPr>
          <w:color w:val="BF5A14"/>
        </w:rPr>
        <w:lastRenderedPageBreak/>
        <w:t xml:space="preserve">Abstract </w:t>
      </w:r>
    </w:p>
    <w:p w:rsidR="00E673BB" w:rsidRDefault="009B2BEF">
      <w:pPr>
        <w:spacing w:line="360" w:lineRule="auto"/>
        <w:jc w:val="both"/>
        <w:rPr>
          <w:rFonts w:ascii="Times New Roman" w:eastAsia="SimSun" w:hAnsi="Times New Roman" w:cs="Times New Roman"/>
        </w:rPr>
      </w:pPr>
      <w:r>
        <w:rPr>
          <w:rFonts w:ascii="Times New Roman" w:eastAsia="SimSun" w:hAnsi="Times New Roman" w:cs="Times New Roman"/>
        </w:rPr>
        <w:t>Monocular elevation deficiency (MED) is an ocular motility disorder characterized by the inability to elevate one eye in abduction, adduction, and primary gaze, previously known as double elevator palsy (DEP). Various surgeries include Knapp procedure or m</w:t>
      </w:r>
      <w:r>
        <w:rPr>
          <w:rFonts w:ascii="Times New Roman" w:eastAsia="SimSun" w:hAnsi="Times New Roman" w:cs="Times New Roman"/>
        </w:rPr>
        <w:t>odified Knapp, inferior rectus recession, Modified Nishida’s procedure and superior rectus recession on the contralateral eye depending on the classification. A paediatric case of supranuclear palsy (SNP) MED associated with significant horizontal deviatio</w:t>
      </w:r>
      <w:r>
        <w:rPr>
          <w:rFonts w:ascii="Times New Roman" w:eastAsia="SimSun" w:hAnsi="Times New Roman" w:cs="Times New Roman"/>
        </w:rPr>
        <w:t>n and co-existent the inferior oblique muscle overaction (IOOA) in the contralateral eye is described. We corrected 40 prism diopter(PD) of horizontal deviation and 25 PD of vertical deviation, and simultaneously corrected IOOA with a innervational surgery</w:t>
      </w:r>
      <w:r>
        <w:rPr>
          <w:rFonts w:ascii="Times New Roman" w:eastAsia="SimSun" w:hAnsi="Times New Roman" w:cs="Times New Roman"/>
        </w:rPr>
        <w:t xml:space="preserve"> combination with horizontal rectus recession. </w:t>
      </w:r>
    </w:p>
    <w:p w:rsidR="00E673BB" w:rsidRDefault="009B2BEF">
      <w:pPr>
        <w:spacing w:line="360" w:lineRule="auto"/>
        <w:jc w:val="both"/>
        <w:rPr>
          <w:rFonts w:ascii="Times New Roman" w:eastAsia="SimSun" w:hAnsi="Times New Roman" w:cs="Times New Roman"/>
        </w:rPr>
      </w:pPr>
      <w:r>
        <w:rPr>
          <w:rFonts w:ascii="Times New Roman" w:eastAsia="SimSun" w:hAnsi="Times New Roman" w:cs="Times New Roman"/>
        </w:rPr>
        <w:t>Contralateral superior rectus recession based on innervational principle provides an appealing alternative treatment for SNP MED and MED with significant horizontal deviation cases.</w:t>
      </w:r>
    </w:p>
    <w:p w:rsidR="00E673BB" w:rsidRDefault="00E673BB">
      <w:pPr>
        <w:pStyle w:val="BodyText"/>
        <w:spacing w:before="90" w:line="280" w:lineRule="auto"/>
        <w:ind w:left="100"/>
        <w:jc w:val="both"/>
      </w:pPr>
    </w:p>
    <w:p w:rsidR="00E673BB" w:rsidRDefault="009B2BEF">
      <w:pPr>
        <w:pStyle w:val="Heading3"/>
        <w:spacing w:before="74"/>
        <w:rPr>
          <w:rFonts w:eastAsia="SimSun"/>
          <w:lang w:eastAsia="zh-CN"/>
        </w:rPr>
      </w:pPr>
      <w:r>
        <w:rPr>
          <w:b w:val="0"/>
        </w:rPr>
        <w:br w:type="column"/>
      </w:r>
      <w:r>
        <w:rPr>
          <w:rFonts w:eastAsia="SimSun" w:hint="eastAsia"/>
          <w:noProof/>
          <w:lang w:val="en-IN" w:eastAsia="en-IN"/>
        </w:rPr>
        <w:lastRenderedPageBreak/>
        <w:drawing>
          <wp:inline distT="0" distB="0" distL="114300" distR="114300">
            <wp:extent cx="1597660" cy="1063625"/>
            <wp:effectExtent l="0" t="0" r="2540" b="3175"/>
            <wp:docPr id="5" name="图片 5" descr="Figure 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1A"/>
                    <pic:cNvPicPr>
                      <a:picLocks noChangeAspect="1"/>
                    </pic:cNvPicPr>
                  </pic:nvPicPr>
                  <pic:blipFill>
                    <a:blip r:embed="rId10"/>
                    <a:stretch>
                      <a:fillRect/>
                    </a:stretch>
                  </pic:blipFill>
                  <pic:spPr>
                    <a:xfrm>
                      <a:off x="0" y="0"/>
                      <a:ext cx="1597660" cy="1063625"/>
                    </a:xfrm>
                    <a:prstGeom prst="rect">
                      <a:avLst/>
                    </a:prstGeom>
                  </pic:spPr>
                </pic:pic>
              </a:graphicData>
            </a:graphic>
          </wp:inline>
        </w:drawing>
      </w:r>
    </w:p>
    <w:p w:rsidR="00E673BB" w:rsidRDefault="009B2BEF">
      <w:pPr>
        <w:pStyle w:val="Heading3"/>
        <w:spacing w:before="74"/>
        <w:rPr>
          <w:rFonts w:eastAsia="SimSun"/>
          <w:lang w:eastAsia="zh-CN"/>
        </w:rPr>
      </w:pPr>
      <w:r>
        <w:rPr>
          <w:rFonts w:ascii="Segoe UI" w:eastAsia="Tw Cen MT" w:hAnsi="Segoe UI" w:cs="Segoe UI" w:hint="eastAsia"/>
          <w:b w:val="0"/>
          <w:bCs w:val="0"/>
          <w:color w:val="212121"/>
          <w:sz w:val="18"/>
          <w:szCs w:val="18"/>
          <w:shd w:val="clear" w:color="auto" w:fill="FFFFFF"/>
        </w:rPr>
        <w:t>Fig</w:t>
      </w:r>
      <w:r>
        <w:rPr>
          <w:rFonts w:ascii="Segoe UI" w:eastAsia="SimSun" w:hAnsi="Segoe UI" w:cs="Segoe UI" w:hint="eastAsia"/>
          <w:b w:val="0"/>
          <w:bCs w:val="0"/>
          <w:color w:val="212121"/>
          <w:sz w:val="18"/>
          <w:szCs w:val="18"/>
          <w:shd w:val="clear" w:color="auto" w:fill="FFFFFF"/>
          <w:lang w:eastAsia="zh-CN"/>
        </w:rPr>
        <w:t xml:space="preserve">ure </w:t>
      </w:r>
      <w:r>
        <w:rPr>
          <w:rFonts w:ascii="Segoe UI" w:eastAsia="Tw Cen MT" w:hAnsi="Segoe UI" w:cs="Segoe UI" w:hint="eastAsia"/>
          <w:b w:val="0"/>
          <w:bCs w:val="0"/>
          <w:color w:val="212121"/>
          <w:sz w:val="18"/>
          <w:szCs w:val="18"/>
          <w:shd w:val="clear" w:color="auto" w:fill="FFFFFF"/>
        </w:rPr>
        <w:t>1</w:t>
      </w:r>
      <w:r>
        <w:rPr>
          <w:rFonts w:ascii="Segoe UI" w:eastAsia="SimSun" w:hAnsi="Segoe UI" w:cs="Segoe UI" w:hint="eastAsia"/>
          <w:b w:val="0"/>
          <w:bCs w:val="0"/>
          <w:color w:val="212121"/>
          <w:sz w:val="18"/>
          <w:szCs w:val="18"/>
          <w:shd w:val="clear" w:color="auto" w:fill="FFFFFF"/>
          <w:lang w:eastAsia="zh-CN"/>
        </w:rPr>
        <w:t xml:space="preserve"> </w:t>
      </w:r>
      <w:r>
        <w:rPr>
          <w:rFonts w:ascii="Segoe UI" w:eastAsia="Tw Cen MT" w:hAnsi="Segoe UI" w:cs="Segoe UI" w:hint="eastAsia"/>
          <w:b w:val="0"/>
          <w:bCs w:val="0"/>
          <w:color w:val="212121"/>
          <w:sz w:val="18"/>
          <w:szCs w:val="18"/>
          <w:shd w:val="clear" w:color="auto" w:fill="FFFFFF"/>
        </w:rPr>
        <w:t xml:space="preserve">Preoperative photos </w:t>
      </w:r>
    </w:p>
    <w:p w:rsidR="00E673BB" w:rsidRDefault="009B2BEF">
      <w:pPr>
        <w:pStyle w:val="Heading3"/>
        <w:spacing w:before="74"/>
        <w:rPr>
          <w:rFonts w:eastAsiaTheme="minorEastAsia"/>
          <w:lang w:eastAsia="zh-CN"/>
        </w:rPr>
      </w:pPr>
      <w:r>
        <w:rPr>
          <w:rFonts w:eastAsiaTheme="minorEastAsia" w:hint="eastAsia"/>
          <w:noProof/>
          <w:lang w:val="en-IN" w:eastAsia="en-IN"/>
        </w:rPr>
        <w:drawing>
          <wp:inline distT="0" distB="0" distL="114300" distR="114300">
            <wp:extent cx="1590040" cy="1217295"/>
            <wp:effectExtent l="0" t="0" r="635" b="1905"/>
            <wp:docPr id="4" name="图片 4" descr="Figure 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1B"/>
                    <pic:cNvPicPr>
                      <a:picLocks noChangeAspect="1"/>
                    </pic:cNvPicPr>
                  </pic:nvPicPr>
                  <pic:blipFill>
                    <a:blip r:embed="rId11"/>
                    <a:stretch>
                      <a:fillRect/>
                    </a:stretch>
                  </pic:blipFill>
                  <pic:spPr>
                    <a:xfrm>
                      <a:off x="0" y="0"/>
                      <a:ext cx="1590040" cy="1217295"/>
                    </a:xfrm>
                    <a:prstGeom prst="rect">
                      <a:avLst/>
                    </a:prstGeom>
                  </pic:spPr>
                </pic:pic>
              </a:graphicData>
            </a:graphic>
          </wp:inline>
        </w:drawing>
      </w:r>
    </w:p>
    <w:p w:rsidR="00E673BB" w:rsidRDefault="009B2BEF">
      <w:pPr>
        <w:rPr>
          <w:rFonts w:ascii="Segoe UI" w:eastAsia="SimSun" w:hAnsi="Segoe UI" w:cs="Segoe UI"/>
          <w:color w:val="212121"/>
          <w:sz w:val="18"/>
          <w:szCs w:val="18"/>
          <w:shd w:val="clear" w:color="auto" w:fill="FFFFFF"/>
          <w:lang w:eastAsia="zh-CN"/>
        </w:rPr>
      </w:pPr>
      <w:r>
        <w:rPr>
          <w:rFonts w:ascii="Segoe UI" w:eastAsia="SimSun" w:hAnsi="Segoe UI" w:cs="Segoe UI" w:hint="eastAsia"/>
          <w:color w:val="212121"/>
          <w:sz w:val="18"/>
          <w:szCs w:val="18"/>
          <w:shd w:val="clear" w:color="auto" w:fill="FFFFFF"/>
          <w:lang w:eastAsia="zh-CN"/>
        </w:rPr>
        <w:t xml:space="preserve"> </w:t>
      </w:r>
    </w:p>
    <w:p w:rsidR="00E673BB" w:rsidRDefault="009B2BEF">
      <w:pPr>
        <w:pStyle w:val="BodyText"/>
        <w:spacing w:before="2"/>
        <w:rPr>
          <w:rFonts w:ascii="Segoe UI" w:hAnsi="Segoe UI" w:cs="Segoe UI"/>
          <w:color w:val="212121"/>
          <w:shd w:val="clear" w:color="auto" w:fill="FFFFFF"/>
        </w:rPr>
      </w:pPr>
      <w:r>
        <w:rPr>
          <w:rFonts w:ascii="Segoe UI" w:hAnsi="Segoe UI" w:cs="Segoe UI"/>
          <w:color w:val="212121"/>
          <w:shd w:val="clear" w:color="auto" w:fill="FFFFFF"/>
          <w:lang w:eastAsia="zh-CN"/>
        </w:rPr>
        <w:t>Figure 2 Postoperative photos</w:t>
      </w:r>
    </w:p>
    <w:p w:rsidR="00E673BB" w:rsidRDefault="009B2BEF">
      <w:pPr>
        <w:spacing w:line="204" w:lineRule="exact"/>
        <w:rPr>
          <w:rFonts w:ascii="Arial"/>
          <w:b/>
          <w:sz w:val="20"/>
        </w:rPr>
      </w:pPr>
      <w:r>
        <w:rPr>
          <w:rFonts w:ascii="Arial"/>
          <w:b/>
          <w:color w:val="BF5A14"/>
          <w:sz w:val="20"/>
        </w:rPr>
        <w:br/>
        <w:t>Recent Publications (minimum 5)</w:t>
      </w:r>
    </w:p>
    <w:p w:rsidR="00E673BB" w:rsidRDefault="009B2BEF">
      <w:pPr>
        <w:pStyle w:val="BodyText"/>
        <w:numPr>
          <w:ilvl w:val="0"/>
          <w:numId w:val="1"/>
        </w:numPr>
        <w:spacing w:before="85" w:line="216" w:lineRule="exact"/>
        <w:ind w:right="138"/>
        <w:jc w:val="both"/>
        <w:rPr>
          <w:rFonts w:ascii="Segoe UI" w:hAnsi="Segoe UI" w:cs="Segoe UI"/>
          <w:color w:val="212121"/>
          <w:shd w:val="clear" w:color="auto" w:fill="FFFFFF"/>
        </w:rPr>
      </w:pPr>
      <w:r>
        <w:rPr>
          <w:rFonts w:ascii="Segoe UI" w:hAnsi="Segoe UI" w:cs="Segoe UI"/>
          <w:color w:val="212121"/>
          <w:shd w:val="clear" w:color="auto" w:fill="FFFFFF"/>
        </w:rPr>
        <w:t>Severe ophthalmia neonatorum in Southwest China: a 5-year review of demographics, microbiological results, and risk factors. Int Ophthalmol. 2022 Jul;42(7):2185-2193.</w:t>
      </w:r>
    </w:p>
    <w:p w:rsidR="00E673BB" w:rsidRDefault="009B2BEF">
      <w:pPr>
        <w:pStyle w:val="BodyText"/>
        <w:numPr>
          <w:ilvl w:val="0"/>
          <w:numId w:val="1"/>
        </w:numPr>
        <w:spacing w:before="85" w:line="216" w:lineRule="exact"/>
        <w:ind w:right="138"/>
        <w:jc w:val="both"/>
        <w:rPr>
          <w:rFonts w:ascii="Segoe UI" w:hAnsi="Segoe UI" w:cs="Segoe UI"/>
          <w:color w:val="212121"/>
          <w:shd w:val="clear" w:color="auto" w:fill="FFFFFF"/>
        </w:rPr>
      </w:pPr>
      <w:r>
        <w:rPr>
          <w:rFonts w:ascii="Segoe UI" w:hAnsi="Segoe UI" w:cs="Segoe UI"/>
          <w:color w:val="212121"/>
          <w:shd w:val="clear" w:color="auto" w:fill="FFFFFF"/>
        </w:rPr>
        <w:t>Thygeson's superficial punctate keratitis (TSPK): a paediatric case report and review of the literature. BMC Ophthalmol. 2021 Jan 29;21(1):64.</w:t>
      </w:r>
    </w:p>
    <w:p w:rsidR="00E673BB" w:rsidRDefault="009B2BEF">
      <w:pPr>
        <w:pStyle w:val="BodyText"/>
        <w:numPr>
          <w:ilvl w:val="0"/>
          <w:numId w:val="1"/>
        </w:numPr>
        <w:spacing w:before="85" w:line="216" w:lineRule="exact"/>
        <w:ind w:right="138"/>
        <w:jc w:val="both"/>
        <w:rPr>
          <w:rFonts w:ascii="Segoe UI" w:hAnsi="Segoe UI" w:cs="Segoe UI"/>
          <w:color w:val="212121"/>
          <w:shd w:val="clear" w:color="auto" w:fill="FFFFFF"/>
        </w:rPr>
      </w:pPr>
      <w:r>
        <w:rPr>
          <w:rFonts w:ascii="Segoe UI" w:hAnsi="Segoe UI" w:cs="Segoe UI"/>
          <w:color w:val="212121"/>
          <w:shd w:val="clear" w:color="auto" w:fill="FFFFFF"/>
        </w:rPr>
        <w:t>Influence of Vitamin A deficiency on the transcriptomic profile of rat meibomian glands. Int Ophthalmol. 2021 Apr</w:t>
      </w:r>
      <w:r>
        <w:rPr>
          <w:rFonts w:ascii="Segoe UI" w:hAnsi="Segoe UI" w:cs="Segoe UI"/>
          <w:color w:val="212121"/>
          <w:shd w:val="clear" w:color="auto" w:fill="FFFFFF"/>
        </w:rPr>
        <w:t>;41(4):1455-1465</w:t>
      </w:r>
    </w:p>
    <w:p w:rsidR="00E673BB" w:rsidRDefault="009B2BEF">
      <w:pPr>
        <w:pStyle w:val="BodyText"/>
        <w:numPr>
          <w:ilvl w:val="0"/>
          <w:numId w:val="1"/>
        </w:numPr>
        <w:spacing w:before="85" w:line="216" w:lineRule="exact"/>
        <w:ind w:right="138"/>
        <w:jc w:val="both"/>
        <w:rPr>
          <w:rFonts w:ascii="Segoe UI" w:hAnsi="Segoe UI" w:cs="Segoe UI"/>
          <w:color w:val="212121"/>
          <w:shd w:val="clear" w:color="auto" w:fill="FFFFFF"/>
        </w:rPr>
      </w:pPr>
      <w:r>
        <w:rPr>
          <w:rFonts w:ascii="Segoe UI" w:hAnsi="Segoe UI" w:cs="Segoe UI"/>
          <w:color w:val="212121"/>
          <w:shd w:val="clear" w:color="auto" w:fill="FFFFFF"/>
        </w:rPr>
        <w:t>Association between allergic conjunctivitis and provisional tic disorder in children. Int Ophthalmol. 2020 Jan;40(1):247-253. </w:t>
      </w:r>
    </w:p>
    <w:p w:rsidR="00E673BB" w:rsidRDefault="009B2BEF">
      <w:pPr>
        <w:pStyle w:val="BodyText"/>
        <w:numPr>
          <w:ilvl w:val="0"/>
          <w:numId w:val="1"/>
        </w:numPr>
        <w:spacing w:before="85" w:line="216" w:lineRule="exact"/>
        <w:ind w:right="138"/>
        <w:jc w:val="both"/>
        <w:rPr>
          <w:rFonts w:ascii="Segoe UI" w:hAnsi="Segoe UI" w:cs="Segoe UI"/>
          <w:color w:val="212121"/>
          <w:shd w:val="clear" w:color="auto" w:fill="FFFFFF"/>
        </w:rPr>
      </w:pPr>
      <w:r>
        <w:rPr>
          <w:rFonts w:ascii="Segoe UI" w:hAnsi="Segoe UI" w:cs="Segoe UI"/>
          <w:color w:val="212121"/>
          <w:shd w:val="clear" w:color="auto" w:fill="FFFFFF"/>
        </w:rPr>
        <w:t>Effect of the BOPPPS model combined with case-based learning versus lecture-based learning on ophthalmology educ</w:t>
      </w:r>
      <w:r>
        <w:rPr>
          <w:rFonts w:ascii="Segoe UI" w:hAnsi="Segoe UI" w:cs="Segoe UI"/>
          <w:color w:val="212121"/>
          <w:shd w:val="clear" w:color="auto" w:fill="FFFFFF"/>
        </w:rPr>
        <w:t>ation for five-year paediatric undergraduates in Southwest China. BMC Med Educ. 2022 Jun 7;22(1):437.</w:t>
      </w:r>
    </w:p>
    <w:p w:rsidR="00E673BB" w:rsidRDefault="00E673BB">
      <w:pPr>
        <w:pStyle w:val="BodyText"/>
        <w:spacing w:before="85" w:line="216" w:lineRule="exact"/>
        <w:ind w:left="383" w:right="138" w:hanging="284"/>
        <w:jc w:val="both"/>
        <w:rPr>
          <w:rFonts w:ascii="Calibri" w:hAnsi="Calibri"/>
        </w:rPr>
      </w:pPr>
    </w:p>
    <w:p w:rsidR="00E673BB" w:rsidRDefault="00E673BB">
      <w:pPr>
        <w:tabs>
          <w:tab w:val="left" w:pos="384"/>
        </w:tabs>
        <w:ind w:right="117"/>
      </w:pPr>
    </w:p>
    <w:p w:rsidR="00E673BB" w:rsidRDefault="009B2BEF">
      <w:pPr>
        <w:spacing w:line="200" w:lineRule="exact"/>
        <w:jc w:val="both"/>
        <w:rPr>
          <w:rFonts w:ascii="Calibri" w:hAnsi="Calibri"/>
        </w:rPr>
        <w:sectPr w:rsidR="00E673BB">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E673BB" w:rsidRDefault="009B2BEF">
      <w:pPr>
        <w:rPr>
          <w:rFonts w:ascii="Calibri"/>
          <w:sz w:val="20"/>
        </w:rPr>
      </w:pPr>
      <w:r>
        <w:rPr>
          <w:rFonts w:ascii="Calibri"/>
          <w:sz w:val="20"/>
        </w:rPr>
        <w:lastRenderedPageBreak/>
        <w:br w:type="page"/>
      </w:r>
    </w:p>
    <w:p w:rsidR="00E673BB" w:rsidRDefault="00E673BB">
      <w:pPr>
        <w:pStyle w:val="BodyText"/>
        <w:rPr>
          <w:rFonts w:ascii="Calibri"/>
          <w:sz w:val="20"/>
        </w:rPr>
      </w:pPr>
    </w:p>
    <w:p w:rsidR="00E673BB" w:rsidRDefault="009B2BEF">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xmlns:wpsCustomData="http://www.wps.cn/officeDocument/2013/wpsCustomData" xmlns:w15="http://schemas.microsoft.com/office/word/2012/wordml">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SUQYdQAAAADAQAADwAAAAAAAAABACAA&#10;AAAiAAAAZHJzL2Rvd25yZXYueG1sUEsBAhQAFAAAAAgAh07iQFwbqocRAgAAlQQAAA4AAAAAAAAA&#10;AQAgAAAAIwEAAGRycy9lMm9Eb2MueG1sUEsFBgAAAAAGAAYAWQEAAKYFA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rsidR="00E673BB" w:rsidRDefault="009B2BEF">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1312" behindDoc="0" locked="0" layoutInCell="1" allowOverlap="1">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ln>
                        <a:effectLst/>
                      </wps:spPr>
                      <wps:txbx>
                        <w:txbxContent>
                          <w:p w:rsidR="00E673BB" w:rsidRDefault="009B2BEF">
                            <w:pPr>
                              <w:rPr>
                                <w:b/>
                                <w:color w:val="0000FF"/>
                                <w:lang w:val="en-IN"/>
                              </w:rPr>
                            </w:pPr>
                            <w:r>
                              <w:rPr>
                                <w:b/>
                                <w:noProof/>
                                <w:color w:val="0000FF"/>
                                <w:lang w:val="en-IN" w:eastAsia="en-IN"/>
                              </w:rPr>
                              <w:drawing>
                                <wp:inline distT="0" distB="0" distL="0" distR="0">
                                  <wp:extent cx="769620" cy="40449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787704" cy="41396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xmlns:w15="http://schemas.microsoft.com/office/word/2012/wordml">
            <w:pict>
              <v:roundrect id="Rounded Rectangle 2" o:spid="_x0000_s1026" o:spt="2" style="position:absolute;left:0pt;margin-left:445.35pt;margin-top:4.45pt;height:44.9pt;width:79.7pt;z-index:251661312;mso-width-relative:page;mso-height-relative:page;" fillcolor="#FFFFFF" filled="t" stroked="t" coordsize="21600,21600" arcsize="0.166666666666667" o:gfxdata="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lIs5dNYAAAAJAQAADwAA&#10;AAAAAAABACAAAAAiAAAAZHJzL2Rvd25yZXYueG1sUEsBAhQAFAAAAAgAh07iQP8l2LlRAgAAuAQA&#10;AA4AAAAAAAAAAQAgAAAAJQEAAGRycy9lMm9Eb2MueG1sUEsFBgAAAAAGAAYAWQEAAOgFAAAAAA==&#10;">
                <v:fill on="t" focussize="0,0"/>
                <v:stroke weight="2.5pt" color="#9BBB59" joinstyle="round"/>
                <v:imagedata o:title=""/>
                <o:lock v:ext="edit" aspectratio="f"/>
                <v:textbox>
                  <w:txbxContent>
                    <w:p>
                      <w:pPr>
                        <w:rPr>
                          <w:b/>
                          <w:color w:val="0000FF"/>
                          <w:lang w:val="en-IN"/>
                        </w:rPr>
                      </w:pPr>
                      <w:r>
                        <w:rPr>
                          <w:b/>
                          <w:color w:val="0000FF"/>
                          <w:lang w:val="en-IN"/>
                        </w:rPr>
                        <w:drawing>
                          <wp:inline distT="0" distB="0" distL="0" distR="0">
                            <wp:extent cx="769620" cy="40449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787704" cy="413963"/>
                                    </a:xfrm>
                                    <a:prstGeom prst="rect">
                                      <a:avLst/>
                                    </a:prstGeom>
                                    <a:noFill/>
                                    <a:ln>
                                      <a:noFill/>
                                    </a:ln>
                                  </pic:spPr>
                                </pic:pic>
                              </a:graphicData>
                            </a:graphic>
                          </wp:inline>
                        </w:drawing>
                      </w:r>
                    </w:p>
                  </w:txbxContent>
                </v:textbox>
              </v:roundrect>
            </w:pict>
          </mc:Fallback>
        </mc:AlternateContent>
      </w:r>
      <w:r>
        <w:t xml:space="preserve">              </w:t>
      </w:r>
      <w:r>
        <w:rPr>
          <w:noProof/>
          <w:lang w:val="en-IN" w:eastAsia="en-IN"/>
        </w:rPr>
        <w:drawing>
          <wp:inline distT="0" distB="0" distL="0" distR="0">
            <wp:extent cx="711835" cy="113347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720846" cy="1147253"/>
                    </a:xfrm>
                    <a:prstGeom prst="rect">
                      <a:avLst/>
                    </a:prstGeom>
                    <a:noFill/>
                    <a:ln>
                      <a:noFill/>
                    </a:ln>
                  </pic:spPr>
                </pic:pic>
              </a:graphicData>
            </a:graphic>
          </wp:inline>
        </w:drawing>
      </w:r>
      <w:r>
        <w:rPr>
          <w:rFonts w:ascii="Arial"/>
          <w:color w:val="BF5A14"/>
        </w:rPr>
        <w:t>Biography (150 word limit)</w:t>
      </w:r>
      <w:r>
        <w:rPr>
          <w:rFonts w:ascii="Times New Roman" w:hAnsi="Times New Roman" w:cs="Times New Roman"/>
          <w:sz w:val="24"/>
          <w:szCs w:val="24"/>
        </w:rPr>
        <w:t xml:space="preserve"> </w:t>
      </w:r>
    </w:p>
    <w:p w:rsidR="00E673BB" w:rsidRDefault="00E673BB">
      <w:pPr>
        <w:spacing w:before="41" w:line="154" w:lineRule="exact"/>
        <w:ind w:left="213" w:right="231"/>
        <w:jc w:val="both"/>
        <w:rPr>
          <w:rFonts w:ascii="Arial"/>
          <w:sz w:val="14"/>
        </w:rPr>
      </w:pPr>
    </w:p>
    <w:p w:rsidR="00E673BB" w:rsidRDefault="009B2BEF">
      <w:pPr>
        <w:spacing w:line="240" w:lineRule="exact"/>
        <w:jc w:val="both"/>
        <w:rPr>
          <w:rFonts w:ascii="Times New Roman" w:hAnsi="Times New Roman"/>
          <w:sz w:val="16"/>
          <w:szCs w:val="16"/>
          <w:lang w:val="fr-FR" w:eastAsia="zh-CN"/>
        </w:rPr>
      </w:pPr>
      <w:bookmarkStart w:id="3" w:name="OLE_LINK2"/>
      <w:r>
        <w:rPr>
          <w:rFonts w:ascii="Times New Roman" w:hAnsi="Times New Roman" w:hint="eastAsia"/>
          <w:sz w:val="16"/>
          <w:szCs w:val="16"/>
          <w:lang w:eastAsia="zh-CN"/>
        </w:rPr>
        <w:t xml:space="preserve">Lin Chen, </w:t>
      </w:r>
      <w:r>
        <w:rPr>
          <w:rFonts w:ascii="Times New Roman" w:hAnsi="Times New Roman" w:hint="eastAsia"/>
          <w:sz w:val="16"/>
          <w:szCs w:val="16"/>
          <w:lang w:val="fr-FR" w:eastAsia="zh-CN"/>
        </w:rPr>
        <w:t xml:space="preserve">Doctor degree in Ophthalmology, professional postgraduate </w:t>
      </w:r>
      <w:r>
        <w:rPr>
          <w:rFonts w:ascii="Times New Roman" w:hAnsi="Times New Roman" w:hint="eastAsia"/>
          <w:sz w:val="16"/>
          <w:szCs w:val="16"/>
          <w:lang w:val="fr-FR" w:eastAsia="zh-CN"/>
        </w:rPr>
        <w:t>tutor. She has been engaged in clinical and basic research of children's ophthalmology for 17 years. She is currently a youth member of the Ophthalmology Committee of the Chinese Women's Medical Association and the member of the pediatric ophthalmology Gro</w:t>
      </w:r>
      <w:r>
        <w:rPr>
          <w:rFonts w:ascii="Times New Roman" w:hAnsi="Times New Roman" w:hint="eastAsia"/>
          <w:sz w:val="16"/>
          <w:szCs w:val="16"/>
          <w:lang w:val="fr-FR" w:eastAsia="zh-CN"/>
        </w:rPr>
        <w:t>up of the Ophthalmology Committee of the Chongqing Medical Association. Presided and completed 1 project for the Youth Fund of the National Natural Science Foundation of China. Her research articles have been published in Am J Ophthalmol, Ophthalmology and</w:t>
      </w:r>
      <w:r>
        <w:rPr>
          <w:rFonts w:ascii="Times New Roman" w:hAnsi="Times New Roman" w:hint="eastAsia"/>
          <w:sz w:val="16"/>
          <w:szCs w:val="16"/>
          <w:lang w:val="fr-FR" w:eastAsia="zh-CN"/>
        </w:rPr>
        <w:t xml:space="preserve"> Therapy, Eur J Ophthalmol, Acta Ophthalmol and other journals. Her research interests are in pediatric ophthalmology, ocular surface diseases, refractive errors and strabismus surgery.</w:t>
      </w:r>
      <w:bookmarkEnd w:id="3"/>
    </w:p>
    <w:p w:rsidR="00E673BB" w:rsidRDefault="009B2BEF">
      <w:pPr>
        <w:spacing w:before="62"/>
        <w:ind w:left="4217" w:right="4235"/>
        <w:jc w:val="center"/>
        <w:rPr>
          <w:rFonts w:ascii="Arial" w:eastAsia="SimSun"/>
          <w:sz w:val="14"/>
          <w:lang w:eastAsia="zh-CN"/>
        </w:rPr>
      </w:pPr>
      <w:r>
        <w:rPr>
          <w:rFonts w:ascii="Arial"/>
          <w:sz w:val="14"/>
        </w:rPr>
        <w:t xml:space="preserve">Email: </w:t>
      </w:r>
      <w:hyperlink r:id="rId15" w:history="1"/>
      <w:r>
        <w:rPr>
          <w:rStyle w:val="Hyperlink"/>
          <w:rFonts w:ascii="Arial"/>
          <w:sz w:val="14"/>
        </w:rPr>
        <w:t xml:space="preserve"> </w:t>
      </w:r>
      <w:r>
        <w:rPr>
          <w:rStyle w:val="Hyperlink"/>
          <w:rFonts w:ascii="Arial" w:eastAsia="SimSun" w:hint="eastAsia"/>
          <w:sz w:val="14"/>
          <w:lang w:eastAsia="zh-CN"/>
        </w:rPr>
        <w:t>chenlin1220@126.com</w:t>
      </w:r>
    </w:p>
    <w:p w:rsidR="00E673BB" w:rsidRDefault="009B2BEF">
      <w:pPr>
        <w:pStyle w:val="BodyText"/>
        <w:spacing w:before="2"/>
        <w:rPr>
          <w:rFonts w:ascii="Arial"/>
          <w:sz w:val="19"/>
        </w:rPr>
      </w:pPr>
      <w:r>
        <w:rPr>
          <w:noProof/>
          <w:lang w:val="en-IN" w:eastAsia="en-IN"/>
        </w:rPr>
        <mc:AlternateContent>
          <mc:Choice Requires="wps">
            <w:drawing>
              <wp:anchor distT="0" distB="0" distL="0" distR="0" simplePos="0" relativeHeight="25166028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xmlns:wpsCustomData="http://www.wps.cn/officeDocument/2013/wpsCustomData" xmlns:w15="http://schemas.microsoft.com/office/word/2012/wordml">
            <w:pict>
              <v:line id="Line 3" o:spid="_x0000_s1026" o:spt="20" style="position:absolute;left:0pt;margin-left:162.1pt;margin-top:13.25pt;height:0pt;width:271.05pt;mso-position-horizontal-relative:page;mso-wrap-distance-bottom:0pt;mso-wrap-distance-top:0pt;z-index:25166028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OKUBv1gAAAAkBAAAPAAAAAAAAAAEAIAAAACIAAABkcnMv&#10;ZG93bnJldi54bWxQSwECFAAUAAAACACHTuJAjY+6RswBAACgAwAADgAAAAAAAAABACAAAAAlAQAA&#10;ZHJzL2Uyb0RvYy54bWxQSwUGAAAAAAYABgBZAQAAYwUAAAAA&#10;">
                <v:fill on="f" focussize="0,0"/>
                <v:stroke weight="0.5pt" color="#004080" joinstyle="round"/>
                <v:imagedata o:title=""/>
                <o:lock v:ext="edit" aspectratio="f"/>
                <w10:wrap type="topAndBottom"/>
              </v:line>
            </w:pict>
          </mc:Fallback>
        </mc:AlternateContent>
      </w:r>
    </w:p>
    <w:p w:rsidR="00E673BB" w:rsidRDefault="00E673BB">
      <w:pPr>
        <w:pStyle w:val="BodyText"/>
        <w:rPr>
          <w:rFonts w:ascii="Arial"/>
          <w:sz w:val="20"/>
        </w:rPr>
      </w:pPr>
    </w:p>
    <w:p w:rsidR="00E673BB" w:rsidRDefault="00E673BB">
      <w:pPr>
        <w:pStyle w:val="BodyText"/>
        <w:rPr>
          <w:rFonts w:ascii="Arial"/>
          <w:sz w:val="20"/>
        </w:rPr>
      </w:pPr>
    </w:p>
    <w:p w:rsidR="00E673BB" w:rsidRDefault="00E673BB">
      <w:pPr>
        <w:pStyle w:val="BodyText"/>
        <w:spacing w:before="7"/>
        <w:rPr>
          <w:rFonts w:ascii="Arial"/>
          <w:sz w:val="29"/>
        </w:rPr>
      </w:pPr>
    </w:p>
    <w:p w:rsidR="00E673BB" w:rsidRDefault="009B2BEF">
      <w:pPr>
        <w:spacing w:before="39"/>
        <w:ind w:left="100"/>
        <w:rPr>
          <w:rFonts w:ascii="Minion Pro"/>
          <w:b/>
          <w:sz w:val="20"/>
        </w:rPr>
      </w:pPr>
      <w:r>
        <w:rPr>
          <w:rFonts w:ascii="Minion Pro"/>
          <w:b/>
          <w:sz w:val="20"/>
        </w:rPr>
        <w:t>Notes/Comments:</w:t>
      </w:r>
    </w:p>
    <w:p w:rsidR="00E673BB" w:rsidRDefault="00E673BB">
      <w:pPr>
        <w:spacing w:before="39"/>
        <w:ind w:left="100"/>
        <w:rPr>
          <w:rFonts w:ascii="Minion Pro"/>
          <w:b/>
          <w:sz w:val="20"/>
        </w:rPr>
      </w:pPr>
    </w:p>
    <w:p w:rsidR="00E673BB" w:rsidRDefault="00E673BB">
      <w:pPr>
        <w:spacing w:before="39"/>
        <w:ind w:left="100"/>
        <w:rPr>
          <w:rFonts w:ascii="Minion Pro"/>
          <w:b/>
          <w:sz w:val="20"/>
        </w:rPr>
      </w:pPr>
    </w:p>
    <w:p w:rsidR="00E673BB" w:rsidRDefault="009B2BEF">
      <w:pPr>
        <w:spacing w:before="39" w:line="360" w:lineRule="auto"/>
        <w:ind w:left="100"/>
        <w:rPr>
          <w:rFonts w:ascii="Times New Roman" w:hAnsi="Times New Roman" w:cs="Times New Roman"/>
          <w:bCs/>
          <w:sz w:val="20"/>
          <w:lang w:val="en-NZ"/>
        </w:rPr>
      </w:pPr>
      <w:r>
        <w:rPr>
          <w:rFonts w:ascii="Times New Roman" w:hAnsi="Times New Roman" w:cs="Times New Roman"/>
          <w:b/>
          <w:sz w:val="20"/>
          <w:lang w:val="en-NZ"/>
        </w:rPr>
        <w:t xml:space="preserve">Presenting author details </w:t>
      </w:r>
      <w:r>
        <w:rPr>
          <w:rFonts w:ascii="Times New Roman" w:hAnsi="Times New Roman" w:cs="Times New Roman"/>
          <w:b/>
          <w:sz w:val="20"/>
          <w:lang w:val="en-NZ"/>
        </w:rPr>
        <w:br/>
      </w:r>
      <w:r>
        <w:rPr>
          <w:rFonts w:ascii="Times New Roman" w:hAnsi="Times New Roman" w:cs="Times New Roman"/>
          <w:bCs/>
          <w:sz w:val="20"/>
          <w:lang w:val="en-NZ"/>
        </w:rPr>
        <w:t xml:space="preserve">Full name: </w:t>
      </w:r>
      <w:r>
        <w:rPr>
          <w:rFonts w:ascii="Times New Roman" w:eastAsia="SimSun" w:hAnsi="Times New Roman" w:cs="Times New Roman" w:hint="eastAsia"/>
          <w:bCs/>
          <w:sz w:val="20"/>
          <w:lang w:eastAsia="zh-CN"/>
        </w:rPr>
        <w:t>Lin Chen</w:t>
      </w:r>
      <w:r>
        <w:rPr>
          <w:rFonts w:ascii="Times New Roman" w:hAnsi="Times New Roman" w:cs="Times New Roman"/>
          <w:bCs/>
          <w:sz w:val="20"/>
          <w:lang w:val="en-NZ"/>
        </w:rPr>
        <w:br/>
        <w:t>Contact number:</w:t>
      </w:r>
      <w:r>
        <w:rPr>
          <w:rFonts w:ascii="Times New Roman" w:eastAsia="SimSun" w:hAnsi="Times New Roman" w:cs="Times New Roman" w:hint="eastAsia"/>
          <w:bCs/>
          <w:sz w:val="20"/>
          <w:lang w:eastAsia="zh-CN"/>
        </w:rPr>
        <w:t xml:space="preserve"> 18623041022</w:t>
      </w:r>
      <w:r>
        <w:rPr>
          <w:rFonts w:ascii="Times New Roman" w:hAnsi="Times New Roman" w:cs="Times New Roman"/>
          <w:bCs/>
          <w:sz w:val="20"/>
          <w:lang w:val="en-NZ"/>
        </w:rPr>
        <w:br/>
        <w:t>Twitter account:</w:t>
      </w:r>
      <w:r>
        <w:rPr>
          <w:rFonts w:ascii="Times New Roman" w:eastAsia="SimSun" w:hAnsi="Times New Roman" w:cs="Times New Roman" w:hint="eastAsia"/>
          <w:bCs/>
          <w:sz w:val="20"/>
          <w:lang w:eastAsia="zh-CN"/>
        </w:rPr>
        <w:t xml:space="preserve">  none</w:t>
      </w:r>
      <w:r>
        <w:rPr>
          <w:rFonts w:ascii="Times New Roman" w:hAnsi="Times New Roman" w:cs="Times New Roman"/>
          <w:bCs/>
          <w:sz w:val="20"/>
          <w:lang w:val="en-NZ"/>
        </w:rPr>
        <w:br/>
        <w:t>Linked In account:</w:t>
      </w:r>
      <w:r>
        <w:rPr>
          <w:rFonts w:ascii="Times New Roman" w:eastAsia="SimSun" w:hAnsi="Times New Roman" w:cs="Times New Roman" w:hint="eastAsia"/>
          <w:bCs/>
          <w:sz w:val="20"/>
          <w:lang w:eastAsia="zh-CN"/>
        </w:rPr>
        <w:t xml:space="preserve"> none</w:t>
      </w:r>
    </w:p>
    <w:p w:rsidR="00E673BB" w:rsidRDefault="009B2BEF">
      <w:pPr>
        <w:spacing w:before="39" w:line="360" w:lineRule="auto"/>
        <w:ind w:left="100"/>
        <w:rPr>
          <w:rFonts w:ascii="Minion Pro"/>
          <w:bCs/>
          <w:sz w:val="20"/>
        </w:rPr>
        <w:sectPr w:rsidR="00E673BB">
          <w:type w:val="continuous"/>
          <w:pgSz w:w="11910" w:h="16840"/>
          <w:pgMar w:top="995" w:right="600" w:bottom="840" w:left="620" w:header="720" w:footer="720" w:gutter="0"/>
          <w:cols w:space="720"/>
        </w:sectPr>
      </w:pPr>
      <w:r>
        <w:rPr>
          <w:rFonts w:ascii="Times New Roman" w:hAnsi="Times New Roman" w:cs="Times New Roman"/>
          <w:bCs/>
          <w:sz w:val="20"/>
          <w:lang w:val="en-NZ"/>
        </w:rPr>
        <w:t xml:space="preserve">Session name/ number: </w:t>
      </w:r>
      <w:r>
        <w:rPr>
          <w:rFonts w:ascii="Times New Roman" w:eastAsia="SimSun" w:hAnsi="Times New Roman" w:cs="Times New Roman" w:hint="eastAsia"/>
          <w:bCs/>
          <w:sz w:val="20"/>
          <w:lang w:eastAsia="zh-CN"/>
        </w:rPr>
        <w:t xml:space="preserve"> </w:t>
      </w:r>
      <w:r>
        <w:rPr>
          <w:rFonts w:ascii="Minion Pro" w:hint="eastAsia"/>
          <w:bCs/>
          <w:sz w:val="20"/>
        </w:rPr>
        <w:t>10th European Conference on</w:t>
      </w:r>
      <w:r>
        <w:rPr>
          <w:rFonts w:ascii="Minion Pro" w:eastAsia="SimSun" w:hint="eastAsia"/>
          <w:bCs/>
          <w:sz w:val="20"/>
          <w:lang w:eastAsia="zh-CN"/>
        </w:rPr>
        <w:t xml:space="preserve"> </w:t>
      </w:r>
      <w:r>
        <w:rPr>
          <w:rFonts w:ascii="Minion Pro" w:hint="eastAsia"/>
          <w:bCs/>
          <w:sz w:val="20"/>
        </w:rPr>
        <w:t>Opthalmology &amp; Eye Care</w:t>
      </w:r>
    </w:p>
    <w:p w:rsidR="00E673BB" w:rsidRDefault="00E673BB">
      <w:pPr>
        <w:jc w:val="both"/>
        <w:rPr>
          <w:rFonts w:ascii="Minion Pro"/>
          <w:sz w:val="26"/>
        </w:rPr>
      </w:pPr>
    </w:p>
    <w:sectPr w:rsidR="00E673B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BEF" w:rsidRDefault="009B2BEF">
      <w:r>
        <w:separator/>
      </w:r>
    </w:p>
  </w:endnote>
  <w:endnote w:type="continuationSeparator" w:id="0">
    <w:p w:rsidR="009B2BEF" w:rsidRDefault="009B2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altName w:val="ksdb"/>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等线">
    <w:altName w:val="Arial Unicode MS"/>
    <w:charset w:val="86"/>
    <w:family w:val="auto"/>
    <w:pitch w:val="default"/>
    <w:sig w:usb0="00000000" w:usb1="38CF7CFA" w:usb2="00000016" w:usb3="00000000" w:csb0="0004000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3BB" w:rsidRDefault="009B2BEF">
    <w:pPr>
      <w:pStyle w:val="BodyText"/>
      <w:spacing w:line="14" w:lineRule="auto"/>
      <w:rPr>
        <w:sz w:val="20"/>
      </w:rPr>
    </w:pPr>
    <w:r>
      <w:rPr>
        <w:noProof/>
        <w:lang w:val="en-IN" w:eastAsia="en-IN"/>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rsidR="00E673BB" w:rsidRDefault="009B2BEF">
                          <w:pPr>
                            <w:spacing w:line="184" w:lineRule="exact"/>
                            <w:ind w:left="20" w:right="-12"/>
                            <w:rPr>
                              <w:rFonts w:ascii="Arial"/>
                              <w:color w:val="FFFFFF" w:themeColor="background1"/>
                              <w:sz w:val="16"/>
                            </w:rPr>
                          </w:pPr>
                          <w:r>
                            <w:rPr>
                              <w:rFonts w:ascii="Arial"/>
                              <w:color w:val="FFFFFF" w:themeColor="background1"/>
                              <w:sz w:val="16"/>
                            </w:rPr>
                            <w:t>J Pain Relief</w:t>
                          </w:r>
                        </w:p>
                        <w:p w:rsidR="00E673BB" w:rsidRDefault="009B2BEF">
                          <w:pPr>
                            <w:spacing w:before="8"/>
                            <w:ind w:left="20" w:right="-12"/>
                            <w:rPr>
                              <w:rFonts w:ascii="Arial"/>
                              <w:color w:val="FFFFFF" w:themeColor="background1"/>
                              <w:sz w:val="16"/>
                            </w:rPr>
                          </w:pPr>
                          <w:r>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anchor>
          </w:drawing>
        </mc:Choice>
        <mc:Fallback xmlns:wpsCustomData="http://www.wps.cn/officeDocument/2013/wpsCustomData" xmlns:w15="http://schemas.microsoft.com/office/word/2012/wordml">
          <w:pict>
            <v:shape id="Text Box 3" o:spid="_x0000_s1026" o:spt="202" type="#_x0000_t202" style="position:absolute;left:0pt;margin-left:35pt;margin-top:798.8pt;height:19.6pt;width:168.2pt;mso-position-horizontal-relative:page;mso-position-vertical-relative:page;z-index:-251654144;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AJbqTaAAAADAEAAA8AAAAAAAAAAQAgAAAAIgAAAGRycy9kb3du&#10;cmV2LnhtbFBLAQIUABQAAAAIAIdO4kB7KTtJ/QEAAAQEAAAOAAAAAAAAAAEAIAAAACkBAABkcnMv&#10;ZTJvRG9jLnhtbFBLBQYAAAAABgAGAFkBAACY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noProof/>
        <w:lang w:val="en-IN" w:eastAsia="en-IN"/>
      </w:rPr>
      <mc:AlternateContent>
        <mc:Choice Requires="wps">
          <w:drawing>
            <wp:anchor distT="0" distB="0" distL="114300" distR="114300" simplePos="0" relativeHeight="25165772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rsidR="00E673BB" w:rsidRDefault="009B2BEF">
                          <w:pPr>
                            <w:spacing w:line="269" w:lineRule="exact"/>
                            <w:jc w:val="center"/>
                            <w:rPr>
                              <w:rFonts w:ascii="Impact"/>
                              <w:color w:val="FFFFFF" w:themeColor="background1"/>
                              <w:sz w:val="24"/>
                            </w:rPr>
                          </w:pPr>
                          <w:r>
                            <w:rPr>
                              <w:rFonts w:ascii="Impact"/>
                              <w:color w:val="FFFFFF" w:themeColor="background1"/>
                              <w:sz w:val="24"/>
                            </w:rPr>
                            <w:t>Fibromyalgia 2016</w:t>
                          </w:r>
                        </w:p>
                        <w:p w:rsidR="00E673BB" w:rsidRDefault="009B2BEF">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xmlns:wpsCustomData="http://www.wps.cn/officeDocument/2013/wpsCustomData" xmlns:w15="http://schemas.microsoft.com/office/word/2012/wordml">
          <w:pict>
            <v:shape id="Text Box 2" o:spid="_x0000_s1026" o:spt="202" type="#_x0000_t202" style="position:absolute;left:0pt;margin-left:252.1pt;margin-top:799.05pt;height:24.95pt;width:91.9pt;mso-position-horizontal-relative:page;mso-position-vertical-relative:page;z-index:-251654144;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gNYJNoAAAANAQAADwAAAAAAAAABACAAAAAiAAAAZHJzL2Rvd25y&#10;ZXYueG1sUEsBAhQAFAAAAAgAh07iQKBoTD38AQAABAQAAA4AAAAAAAAAAQAgAAAAKQEAAGRycy9l&#10;Mm9Eb2MueG1sUEsFBgAAAAAGAAYAWQEAAJcF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noProof/>
        <w:lang w:val="en-IN" w:eastAsia="en-IN"/>
      </w:rPr>
      <mc:AlternateContent>
        <mc:Choice Requires="wps">
          <w:drawing>
            <wp:anchor distT="0" distB="0" distL="114300" distR="114300" simplePos="0" relativeHeight="25165875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rsidR="00E673BB" w:rsidRDefault="009B2BEF">
                          <w:pPr>
                            <w:spacing w:line="184" w:lineRule="exact"/>
                            <w:ind w:right="18"/>
                            <w:jc w:val="right"/>
                            <w:rPr>
                              <w:rFonts w:ascii="Arial"/>
                              <w:color w:val="FFFFFF" w:themeColor="background1"/>
                              <w:sz w:val="16"/>
                            </w:rPr>
                          </w:pPr>
                          <w:r>
                            <w:rPr>
                              <w:rFonts w:ascii="Arial"/>
                              <w:color w:val="FFFFFF" w:themeColor="background1"/>
                              <w:sz w:val="16"/>
                            </w:rPr>
                            <w:t>Volume 5, Issue 3(Suppl)</w:t>
                          </w:r>
                        </w:p>
                        <w:p w:rsidR="00E673BB" w:rsidRDefault="009B2BEF">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xmlns:wpsCustomData="http://www.wps.cn/officeDocument/2013/wpsCustomData" xmlns:w15="http://schemas.microsoft.com/office/word/2012/wordml">
          <w:pict>
            <v:shape id="Text Box 1" o:spid="_x0000_s1026" o:spt="202" type="#_x0000_t202" style="position:absolute;left:0pt;margin-left:468.9pt;margin-top:798.8pt;height:26.05pt;width:91.4pt;mso-position-horizontal-relative:page;mso-position-vertical-relative:page;z-index:-251654144;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wbMZ2dsAAAAOAQAADwAAAAAAAAABACAAAAAiAAAAZHJzL2Rvd25y&#10;ZXYueG1sUEsBAhQAFAAAAAgAh07iQPGdWzv7AQAABAQAAA4AAAAAAAAAAQAgAAAAKgEAAGRycy9l&#10;Mm9Eb2MueG1sUEsFBgAAAAAGAAYAWQEAAJcF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BEF" w:rsidRDefault="009B2BEF">
      <w:r>
        <w:separator/>
      </w:r>
    </w:p>
  </w:footnote>
  <w:footnote w:type="continuationSeparator" w:id="0">
    <w:p w:rsidR="009B2BEF" w:rsidRDefault="009B2B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825524"/>
    <w:multiLevelType w:val="multilevel"/>
    <w:tmpl w:val="71825524"/>
    <w:lvl w:ilvl="0">
      <w:start w:val="1"/>
      <w:numFmt w:val="decimal"/>
      <w:lvlText w:val="%1."/>
      <w:lvlJc w:val="left"/>
      <w:pPr>
        <w:ind w:left="459" w:hanging="360"/>
      </w:pPr>
      <w:rPr>
        <w:rFonts w:hint="default"/>
      </w:rPr>
    </w:lvl>
    <w:lvl w:ilvl="1">
      <w:start w:val="1"/>
      <w:numFmt w:val="lowerLetter"/>
      <w:lvlText w:val="%2)"/>
      <w:lvlJc w:val="left"/>
      <w:pPr>
        <w:ind w:left="939" w:hanging="420"/>
      </w:pPr>
    </w:lvl>
    <w:lvl w:ilvl="2">
      <w:start w:val="1"/>
      <w:numFmt w:val="lowerRoman"/>
      <w:lvlText w:val="%3."/>
      <w:lvlJc w:val="right"/>
      <w:pPr>
        <w:ind w:left="1359" w:hanging="420"/>
      </w:pPr>
    </w:lvl>
    <w:lvl w:ilvl="3">
      <w:start w:val="1"/>
      <w:numFmt w:val="decimal"/>
      <w:lvlText w:val="%4."/>
      <w:lvlJc w:val="left"/>
      <w:pPr>
        <w:ind w:left="1779" w:hanging="420"/>
      </w:pPr>
    </w:lvl>
    <w:lvl w:ilvl="4">
      <w:start w:val="1"/>
      <w:numFmt w:val="lowerLetter"/>
      <w:lvlText w:val="%5)"/>
      <w:lvlJc w:val="left"/>
      <w:pPr>
        <w:ind w:left="2199" w:hanging="420"/>
      </w:pPr>
    </w:lvl>
    <w:lvl w:ilvl="5">
      <w:start w:val="1"/>
      <w:numFmt w:val="lowerRoman"/>
      <w:lvlText w:val="%6."/>
      <w:lvlJc w:val="right"/>
      <w:pPr>
        <w:ind w:left="2619" w:hanging="420"/>
      </w:pPr>
    </w:lvl>
    <w:lvl w:ilvl="6">
      <w:start w:val="1"/>
      <w:numFmt w:val="decimal"/>
      <w:lvlText w:val="%7."/>
      <w:lvlJc w:val="left"/>
      <w:pPr>
        <w:ind w:left="3039" w:hanging="420"/>
      </w:pPr>
    </w:lvl>
    <w:lvl w:ilvl="7">
      <w:start w:val="1"/>
      <w:numFmt w:val="lowerLetter"/>
      <w:lvlText w:val="%8)"/>
      <w:lvlJc w:val="left"/>
      <w:pPr>
        <w:ind w:left="3459" w:hanging="420"/>
      </w:pPr>
    </w:lvl>
    <w:lvl w:ilvl="8">
      <w:start w:val="1"/>
      <w:numFmt w:val="lowerRoman"/>
      <w:lvlText w:val="%9."/>
      <w:lvlJc w:val="right"/>
      <w:pPr>
        <w:ind w:left="3879"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8"/>
  <w:defaultTabStop w:val="720"/>
  <w:drawingGridHorizontalSpacing w:val="110"/>
  <w:noPunctuationKerning/>
  <w:characterSpacingControl w:val="doNotCompres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AE3E37"/>
    <w:rsid w:val="000534A1"/>
    <w:rsid w:val="0006797A"/>
    <w:rsid w:val="000B4CAA"/>
    <w:rsid w:val="000E2911"/>
    <w:rsid w:val="00116EA0"/>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BEF"/>
    <w:rsid w:val="009B2D44"/>
    <w:rsid w:val="009C4BED"/>
    <w:rsid w:val="00A07E82"/>
    <w:rsid w:val="00A52075"/>
    <w:rsid w:val="00A9710C"/>
    <w:rsid w:val="00AE3E37"/>
    <w:rsid w:val="00B21A57"/>
    <w:rsid w:val="00BE5B97"/>
    <w:rsid w:val="00BE6743"/>
    <w:rsid w:val="00C33602"/>
    <w:rsid w:val="00C56C74"/>
    <w:rsid w:val="00CA6140"/>
    <w:rsid w:val="00CD6F55"/>
    <w:rsid w:val="00DD1629"/>
    <w:rsid w:val="00DE3104"/>
    <w:rsid w:val="00DE6170"/>
    <w:rsid w:val="00E30AAC"/>
    <w:rsid w:val="00E673BB"/>
    <w:rsid w:val="00E95D97"/>
    <w:rsid w:val="00EA7D51"/>
    <w:rsid w:val="00EF7AD9"/>
    <w:rsid w:val="00F046EA"/>
    <w:rsid w:val="00F312EA"/>
    <w:rsid w:val="00F35A62"/>
    <w:rsid w:val="00F72EEA"/>
    <w:rsid w:val="00F84CAE"/>
    <w:rsid w:val="00FA41DE"/>
    <w:rsid w:val="121B077D"/>
    <w:rsid w:val="211865F8"/>
    <w:rsid w:val="2494563D"/>
    <w:rsid w:val="25781725"/>
    <w:rsid w:val="2D1728EF"/>
    <w:rsid w:val="321F0BB0"/>
    <w:rsid w:val="366A3D3C"/>
    <w:rsid w:val="3C916DF8"/>
    <w:rsid w:val="7390339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pPr>
    <w:rPr>
      <w:rFonts w:ascii="Tw Cen MT" w:eastAsia="Tw Cen MT" w:hAnsi="Tw Cen MT" w:cs="Tw Cen MT"/>
      <w:sz w:val="22"/>
      <w:szCs w:val="22"/>
      <w:lang w:val="en-US" w:eastAsia="en-US"/>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paragraph" w:styleId="NormalWeb">
    <w:name w:val="Normal (Web)"/>
    <w:basedOn w:val="Normal"/>
    <w:uiPriority w:val="99"/>
    <w:semiHidden/>
    <w:unhideWhenUsed/>
    <w:rPr>
      <w:sz w:val="24"/>
    </w:rPr>
  </w:style>
  <w:style w:type="character" w:styleId="Hyperlink">
    <w:name w:val="Hyperlink"/>
    <w:basedOn w:val="DefaultParagraphFont"/>
    <w:uiPriority w:val="99"/>
    <w:unhideWhenUsed/>
    <w:qFormat/>
    <w:rPr>
      <w:color w:val="0000FF" w:themeColor="hyperlink"/>
      <w:u w:val="single"/>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qFormat/>
    <w:rPr>
      <w:rFonts w:ascii="Tw Cen MT" w:eastAsia="Tw Cen MT" w:hAnsi="Tw Cen MT" w:cs="Tw Cen MT"/>
    </w:rPr>
  </w:style>
  <w:style w:type="character" w:customStyle="1" w:styleId="FooterChar">
    <w:name w:val="Footer Char"/>
    <w:basedOn w:val="DefaultParagraphFont"/>
    <w:link w:val="Footer"/>
    <w:uiPriority w:val="99"/>
    <w:qFormat/>
    <w:rPr>
      <w:rFonts w:ascii="Tw Cen MT" w:eastAsia="Tw Cen MT" w:hAnsi="Tw Cen MT" w:cs="Tw Cen MT"/>
    </w:rPr>
  </w:style>
  <w:style w:type="character" w:customStyle="1" w:styleId="BalloonTextChar">
    <w:name w:val="Balloon Text Char"/>
    <w:basedOn w:val="DefaultParagraphFont"/>
    <w:link w:val="BalloonText"/>
    <w:uiPriority w:val="99"/>
    <w:semiHidden/>
    <w:qFormat/>
    <w:rPr>
      <w:rFonts w:ascii="Tahoma" w:eastAsia="Tw Cen MT" w:hAnsi="Tahoma" w:cs="Tahoma"/>
      <w:sz w:val="16"/>
      <w:szCs w:val="16"/>
    </w:rPr>
  </w:style>
  <w:style w:type="character" w:customStyle="1" w:styleId="BodyTextChar">
    <w:name w:val="Body Text Char"/>
    <w:basedOn w:val="DefaultParagraphFont"/>
    <w:link w:val="BodyText"/>
    <w:uiPriority w:val="1"/>
    <w:qFormat/>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pPr>
    <w:rPr>
      <w:rFonts w:ascii="Tw Cen MT" w:eastAsia="Tw Cen MT" w:hAnsi="Tw Cen MT" w:cs="Tw Cen MT"/>
      <w:sz w:val="22"/>
      <w:szCs w:val="22"/>
      <w:lang w:val="en-US" w:eastAsia="en-US"/>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paragraph" w:styleId="NormalWeb">
    <w:name w:val="Normal (Web)"/>
    <w:basedOn w:val="Normal"/>
    <w:uiPriority w:val="99"/>
    <w:semiHidden/>
    <w:unhideWhenUsed/>
    <w:rPr>
      <w:sz w:val="24"/>
    </w:rPr>
  </w:style>
  <w:style w:type="character" w:styleId="Hyperlink">
    <w:name w:val="Hyperlink"/>
    <w:basedOn w:val="DefaultParagraphFont"/>
    <w:uiPriority w:val="99"/>
    <w:unhideWhenUsed/>
    <w:qFormat/>
    <w:rPr>
      <w:color w:val="0000FF" w:themeColor="hyperlink"/>
      <w:u w:val="single"/>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qFormat/>
    <w:rPr>
      <w:rFonts w:ascii="Tw Cen MT" w:eastAsia="Tw Cen MT" w:hAnsi="Tw Cen MT" w:cs="Tw Cen MT"/>
    </w:rPr>
  </w:style>
  <w:style w:type="character" w:customStyle="1" w:styleId="FooterChar">
    <w:name w:val="Footer Char"/>
    <w:basedOn w:val="DefaultParagraphFont"/>
    <w:link w:val="Footer"/>
    <w:uiPriority w:val="99"/>
    <w:qFormat/>
    <w:rPr>
      <w:rFonts w:ascii="Tw Cen MT" w:eastAsia="Tw Cen MT" w:hAnsi="Tw Cen MT" w:cs="Tw Cen MT"/>
    </w:rPr>
  </w:style>
  <w:style w:type="character" w:customStyle="1" w:styleId="BalloonTextChar">
    <w:name w:val="Balloon Text Char"/>
    <w:basedOn w:val="DefaultParagraphFont"/>
    <w:link w:val="BalloonText"/>
    <w:uiPriority w:val="99"/>
    <w:semiHidden/>
    <w:qFormat/>
    <w:rPr>
      <w:rFonts w:ascii="Tahoma" w:eastAsia="Tw Cen MT" w:hAnsi="Tahoma" w:cs="Tahoma"/>
      <w:sz w:val="16"/>
      <w:szCs w:val="16"/>
    </w:rPr>
  </w:style>
  <w:style w:type="character" w:customStyle="1" w:styleId="BodyTextChar">
    <w:name w:val="Body Text Char"/>
    <w:basedOn w:val="DefaultParagraphFont"/>
    <w:link w:val="BodyText"/>
    <w:uiPriority w:val="1"/>
    <w:qFormat/>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0.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5" Type="http://schemas.openxmlformats.org/officeDocument/2006/relationships/settings" Target="settings.xml"/><Relationship Id="rId15" Type="http://schemas.openxmlformats.org/officeDocument/2006/relationships/hyperlink" Target="mailto:drXXXXXXX@xxxmail.com" TargetMode="External"/><Relationship Id="rId10" Type="http://schemas.openxmlformats.org/officeDocument/2006/relationships/image" Target="media/image1.tif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482</Words>
  <Characters>2749</Characters>
  <Application>Microsoft Office Word</Application>
  <DocSecurity>0</DocSecurity>
  <Lines>22</Lines>
  <Paragraphs>6</Paragraphs>
  <ScaleCrop>false</ScaleCrop>
  <Company>Microsoft</Company>
  <LinksUpToDate>false</LinksUpToDate>
  <CharactersWithSpaces>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Anukriti Srivastava</cp:lastModifiedBy>
  <cp:revision>2</cp:revision>
  <dcterms:created xsi:type="dcterms:W3CDTF">2022-11-22T11:48:00Z</dcterms:created>
  <dcterms:modified xsi:type="dcterms:W3CDTF">2022-11-22T11:48:00Z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2052-11.1.0.12763</vt:lpwstr>
  </property>
  <property fmtid="{D5CDD505-2E9C-101B-9397-08002B2CF9AE}" pid="6" name="ICV">
    <vt:lpwstr>984AA56C1BD645CA847ECA58F6560FDE</vt:lpwstr>
  </property>
</Properties>
</file>