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50D" w:rsidRPr="00FC29E0" w:rsidRDefault="00F9650D" w:rsidP="00F9650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lang w:bidi="ar-SA"/>
        </w:rPr>
      </w:pPr>
      <w:r w:rsidRPr="00FC29E0">
        <w:rPr>
          <w:rFonts w:asciiTheme="majorBidi" w:hAnsiTheme="majorBidi" w:cstheme="majorBidi"/>
          <w:b/>
          <w:bCs/>
          <w:sz w:val="32"/>
          <w:szCs w:val="32"/>
          <w:lang w:bidi="ar-SA"/>
        </w:rPr>
        <w:t>Can serum level of N-terminal pro B-type natriuretic peptide be used in patients with psoriasis as a predictor of cardiovascular disease</w:t>
      </w:r>
      <w:r w:rsidRPr="00FC29E0">
        <w:rPr>
          <w:rFonts w:asciiTheme="majorBidi" w:hAnsiTheme="majorBidi" w:cstheme="majorBidi"/>
          <w:b/>
          <w:bCs/>
          <w:sz w:val="32"/>
          <w:szCs w:val="32"/>
          <w:rtl/>
          <w:lang w:bidi="ar-SA"/>
        </w:rPr>
        <w:t>?</w:t>
      </w:r>
    </w:p>
    <w:p w:rsidR="00F9650D" w:rsidRDefault="00F9650D" w:rsidP="00F9650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</w:p>
    <w:p w:rsidR="00F9650D" w:rsidRDefault="00F9650D" w:rsidP="00F9650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  <w:bookmarkStart w:id="0" w:name="_GoBack"/>
      <w:proofErr w:type="spellStart"/>
      <w:r w:rsidRPr="00FC29E0">
        <w:rPr>
          <w:rFonts w:asciiTheme="majorBidi" w:eastAsia="Calibri" w:hAnsiTheme="majorBidi" w:cstheme="majorBidi"/>
          <w:sz w:val="24"/>
          <w:szCs w:val="24"/>
          <w:lang w:bidi="ar-SA"/>
        </w:rPr>
        <w:t>NasimNiknezhad</w:t>
      </w:r>
      <w:bookmarkEnd w:id="0"/>
      <w:proofErr w:type="spellEnd"/>
      <w:r>
        <w:rPr>
          <w:rFonts w:asciiTheme="majorBidi" w:eastAsia="Calibri" w:hAnsiTheme="majorBidi" w:cstheme="majorBidi"/>
          <w:sz w:val="24"/>
          <w:szCs w:val="24"/>
          <w:lang w:bidi="ar-SA"/>
        </w:rPr>
        <w:t>*</w:t>
      </w:r>
    </w:p>
    <w:p w:rsidR="00F9650D" w:rsidRDefault="00F9650D" w:rsidP="00F9650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bidi="ar-SA"/>
        </w:rPr>
      </w:pPr>
    </w:p>
    <w:p w:rsidR="00F9650D" w:rsidRPr="00FC29E0" w:rsidRDefault="00F9650D" w:rsidP="00F9650D">
      <w:pPr>
        <w:spacing w:line="480" w:lineRule="auto"/>
        <w:jc w:val="right"/>
        <w:rPr>
          <w:rFonts w:asciiTheme="majorBidi" w:eastAsia="Calibri" w:hAnsiTheme="majorBidi" w:cstheme="majorBidi"/>
          <w:lang w:bidi="ar-SA"/>
        </w:rPr>
      </w:pPr>
      <w:proofErr w:type="spellStart"/>
      <w:r w:rsidRPr="00FC29E0">
        <w:rPr>
          <w:rFonts w:asciiTheme="majorBidi" w:eastAsia="Calibri" w:hAnsiTheme="majorBidi" w:cstheme="majorBidi"/>
          <w:lang w:bidi="ar-SA"/>
        </w:rPr>
        <w:t>ShahidBeheshti</w:t>
      </w:r>
      <w:proofErr w:type="spellEnd"/>
      <w:r w:rsidRPr="00FC29E0">
        <w:rPr>
          <w:rFonts w:asciiTheme="majorBidi" w:eastAsia="Calibri" w:hAnsiTheme="majorBidi" w:cstheme="majorBidi"/>
          <w:lang w:bidi="ar-SA"/>
        </w:rPr>
        <w:t xml:space="preserve"> University of Medical Sciences, Tehran, Iran</w:t>
      </w:r>
    </w:p>
    <w:p w:rsidR="00F9650D" w:rsidRPr="00FC29E0" w:rsidRDefault="00F9650D" w:rsidP="00F9650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</w:p>
    <w:p w:rsidR="00F9650D" w:rsidRPr="00790F13" w:rsidRDefault="00F9650D" w:rsidP="00F9650D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  <w:r w:rsidRPr="00FC29E0">
        <w:rPr>
          <w:rFonts w:asciiTheme="majorBidi" w:hAnsiTheme="majorBidi" w:cstheme="majorBidi"/>
          <w:b/>
          <w:bCs/>
          <w:sz w:val="24"/>
          <w:szCs w:val="24"/>
          <w:lang w:bidi="ar-SA"/>
        </w:rPr>
        <w:t>Abstract</w:t>
      </w:r>
    </w:p>
    <w:p w:rsidR="00F9650D" w:rsidRPr="00790F13" w:rsidRDefault="00F9650D" w:rsidP="00F9650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</w:p>
    <w:p w:rsidR="00F9650D" w:rsidRPr="00FC29E0" w:rsidRDefault="00F9650D" w:rsidP="00F9650D">
      <w:pPr>
        <w:bidi w:val="0"/>
        <w:jc w:val="both"/>
        <w:rPr>
          <w:rFonts w:asciiTheme="majorBidi" w:eastAsia="Calibri" w:hAnsiTheme="majorBidi" w:cstheme="majorBidi"/>
          <w:sz w:val="20"/>
          <w:szCs w:val="20"/>
        </w:rPr>
      </w:pPr>
      <w:r w:rsidRPr="00FC29E0">
        <w:rPr>
          <w:rFonts w:asciiTheme="majorBidi" w:eastAsia="Calibri" w:hAnsiTheme="majorBidi" w:cstheme="majorBidi"/>
          <w:b/>
          <w:bCs/>
          <w:sz w:val="20"/>
          <w:szCs w:val="20"/>
        </w:rPr>
        <w:t>Background:</w:t>
      </w:r>
      <w:r w:rsidRPr="00FC29E0">
        <w:rPr>
          <w:rFonts w:asciiTheme="majorBidi" w:eastAsia="Calibri" w:hAnsiTheme="majorBidi" w:cstheme="majorBidi"/>
          <w:sz w:val="20"/>
          <w:szCs w:val="20"/>
        </w:rPr>
        <w:t xml:space="preserve"> Past studies have reported associations between psoriasis, metabolic syndrome and atherosclerotic cardiovascular disease. </w:t>
      </w:r>
    </w:p>
    <w:p w:rsidR="00F9650D" w:rsidRPr="00FC29E0" w:rsidRDefault="00F9650D" w:rsidP="00F9650D">
      <w:pPr>
        <w:bidi w:val="0"/>
        <w:jc w:val="both"/>
        <w:rPr>
          <w:rFonts w:asciiTheme="majorBidi" w:eastAsia="Calibri" w:hAnsiTheme="majorBidi" w:cstheme="majorBidi"/>
          <w:sz w:val="20"/>
          <w:szCs w:val="20"/>
        </w:rPr>
      </w:pPr>
      <w:r w:rsidRPr="00FC29E0">
        <w:rPr>
          <w:rFonts w:asciiTheme="majorBidi" w:eastAsia="Calibri" w:hAnsiTheme="majorBidi" w:cstheme="majorBidi"/>
          <w:b/>
          <w:bCs/>
          <w:sz w:val="20"/>
          <w:szCs w:val="20"/>
        </w:rPr>
        <w:t>Objective:</w:t>
      </w:r>
      <w:r w:rsidRPr="00FC29E0">
        <w:rPr>
          <w:rFonts w:asciiTheme="majorBidi" w:eastAsia="Calibri" w:hAnsiTheme="majorBidi" w:cstheme="majorBidi"/>
          <w:sz w:val="20"/>
          <w:szCs w:val="20"/>
        </w:rPr>
        <w:t xml:space="preserve"> According to studies, N-terminal pro b-type natriuretic peptide (NT-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proBNP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) is a useful screening test for cardiac 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disease.We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 examined the serum NT-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proBNP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 level in patients with psoriasis and compared them with 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nonpsoriatic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 healthy control subjects. </w:t>
      </w:r>
    </w:p>
    <w:p w:rsidR="00F9650D" w:rsidRPr="00FC29E0" w:rsidRDefault="00F9650D" w:rsidP="00F9650D">
      <w:pPr>
        <w:bidi w:val="0"/>
        <w:jc w:val="both"/>
        <w:rPr>
          <w:rFonts w:asciiTheme="majorBidi" w:eastAsia="Calibri" w:hAnsiTheme="majorBidi" w:cstheme="majorBidi"/>
          <w:sz w:val="20"/>
          <w:szCs w:val="20"/>
        </w:rPr>
      </w:pPr>
      <w:r w:rsidRPr="00FC29E0">
        <w:rPr>
          <w:rFonts w:asciiTheme="majorBidi" w:eastAsia="Calibri" w:hAnsiTheme="majorBidi" w:cstheme="majorBidi"/>
          <w:b/>
          <w:bCs/>
          <w:sz w:val="20"/>
          <w:szCs w:val="20"/>
        </w:rPr>
        <w:t>Methods:</w:t>
      </w:r>
      <w:r w:rsidRPr="00FC29E0">
        <w:rPr>
          <w:rFonts w:asciiTheme="majorBidi" w:eastAsia="Calibri" w:hAnsiTheme="majorBidi" w:cstheme="majorBidi"/>
          <w:sz w:val="20"/>
          <w:szCs w:val="20"/>
        </w:rPr>
        <w:t xml:space="preserve"> Sixty-one patients with psoriasis were enrolled, along with 61 age, sex and body mass index matched control subjects. In both groups, NT-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proBNP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 serum levels and lipid profile parameters were investigated.  Means and 95% confidence intervals (CI) were reported</w:t>
      </w:r>
      <w:r w:rsidRPr="00FC29E0">
        <w:rPr>
          <w:rFonts w:asciiTheme="majorBidi" w:eastAsia="Calibri" w:hAnsiTheme="majorBidi" w:cstheme="majorBidi"/>
          <w:sz w:val="20"/>
          <w:szCs w:val="20"/>
          <w:rtl/>
        </w:rPr>
        <w:t>.</w:t>
      </w:r>
    </w:p>
    <w:p w:rsidR="00F9650D" w:rsidRPr="00FC29E0" w:rsidRDefault="00F9650D" w:rsidP="00F9650D">
      <w:pPr>
        <w:bidi w:val="0"/>
        <w:jc w:val="both"/>
        <w:rPr>
          <w:rFonts w:asciiTheme="majorBidi" w:eastAsia="Calibri" w:hAnsiTheme="majorBidi" w:cstheme="majorBidi"/>
          <w:sz w:val="20"/>
          <w:szCs w:val="20"/>
        </w:rPr>
      </w:pPr>
      <w:r w:rsidRPr="00FC29E0">
        <w:rPr>
          <w:rFonts w:asciiTheme="majorBidi" w:eastAsia="Calibri" w:hAnsiTheme="majorBidi" w:cstheme="majorBidi"/>
          <w:b/>
          <w:bCs/>
          <w:sz w:val="20"/>
          <w:szCs w:val="20"/>
        </w:rPr>
        <w:t>Results:</w:t>
      </w:r>
      <w:r w:rsidRPr="00FC29E0">
        <w:rPr>
          <w:rFonts w:asciiTheme="majorBidi" w:eastAsia="Calibri" w:hAnsiTheme="majorBidi" w:cstheme="majorBidi"/>
          <w:sz w:val="20"/>
          <w:szCs w:val="20"/>
        </w:rPr>
        <w:t xml:space="preserve"> The median serum concentration of NT-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proBNP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 was higher in psoriatic patients than the control group (26.67</w:t>
      </w:r>
      <w:r w:rsidRPr="00FC29E0">
        <w:rPr>
          <w:rFonts w:asciiTheme="majorBidi" w:hAnsiTheme="majorBidi" w:cstheme="majorBidi"/>
          <w:sz w:val="20"/>
          <w:szCs w:val="20"/>
        </w:rPr>
        <w:t xml:space="preserve"> </w:t>
      </w:r>
      <w:r w:rsidRPr="00FC29E0">
        <w:rPr>
          <w:rFonts w:asciiTheme="majorBidi" w:eastAsia="Calibri" w:hAnsiTheme="majorBidi" w:cstheme="majorBidi"/>
          <w:sz w:val="20"/>
          <w:szCs w:val="20"/>
        </w:rPr>
        <w:t xml:space="preserve">[interquartile range (IQR): 15.15–43.03 and range: 5–250] 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vs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 17.45 (IQR: 12.35 to 20.80 and range: 5 to 45.09, p&lt;0.0001). NT-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proBNP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 serum level in psoriatic arthritis patients (11%)  (55.6±25.7pg/ml, 95% CI:31.9-79.4pg/ml) was higher than psoriasis patients without arthritis (35.8±40.6 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pg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>/ml, CI: 24.7-46.9, p&lt;0.001). NT-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proBNP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 levels were also positively correlated with BMI, lipid profile and disease duration.</w:t>
      </w:r>
    </w:p>
    <w:p w:rsidR="00F9650D" w:rsidRPr="00FC29E0" w:rsidRDefault="00F9650D" w:rsidP="00F9650D">
      <w:pPr>
        <w:bidi w:val="0"/>
        <w:jc w:val="both"/>
        <w:rPr>
          <w:rFonts w:asciiTheme="majorBidi" w:eastAsia="Calibri" w:hAnsiTheme="majorBidi" w:cstheme="majorBidi"/>
          <w:sz w:val="20"/>
          <w:szCs w:val="20"/>
          <w:rtl/>
        </w:rPr>
      </w:pPr>
      <w:r w:rsidRPr="00FC29E0"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Conclusions: </w:t>
      </w:r>
      <w:r w:rsidRPr="00FC29E0">
        <w:rPr>
          <w:rFonts w:asciiTheme="majorBidi" w:eastAsia="Calibri" w:hAnsiTheme="majorBidi" w:cstheme="majorBidi"/>
          <w:sz w:val="20"/>
          <w:szCs w:val="20"/>
        </w:rPr>
        <w:t>NT-</w:t>
      </w:r>
      <w:proofErr w:type="spellStart"/>
      <w:r w:rsidRPr="00FC29E0">
        <w:rPr>
          <w:rFonts w:asciiTheme="majorBidi" w:eastAsia="Calibri" w:hAnsiTheme="majorBidi" w:cstheme="majorBidi"/>
          <w:sz w:val="20"/>
          <w:szCs w:val="20"/>
        </w:rPr>
        <w:t>proBNP</w:t>
      </w:r>
      <w:proofErr w:type="spellEnd"/>
      <w:r w:rsidRPr="00FC29E0">
        <w:rPr>
          <w:rFonts w:asciiTheme="majorBidi" w:eastAsia="Calibri" w:hAnsiTheme="majorBidi" w:cstheme="majorBidi"/>
          <w:sz w:val="20"/>
          <w:szCs w:val="20"/>
        </w:rPr>
        <w:t xml:space="preserve"> is elevated in patients with psoriasis, consistent with the high risk of cardiovascular disease associated with psoriasis</w:t>
      </w:r>
      <w:r w:rsidRPr="00FC29E0">
        <w:rPr>
          <w:rFonts w:asciiTheme="majorBidi" w:eastAsia="Calibri" w:hAnsiTheme="majorBidi" w:cstheme="majorBidi"/>
          <w:sz w:val="20"/>
          <w:szCs w:val="20"/>
          <w:rtl/>
        </w:rPr>
        <w:t>.</w:t>
      </w:r>
    </w:p>
    <w:p w:rsidR="00916288" w:rsidRDefault="00F9650D"/>
    <w:sectPr w:rsidR="009162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50D"/>
    <w:rsid w:val="008077D4"/>
    <w:rsid w:val="00F244B6"/>
    <w:rsid w:val="00F9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0D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0D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2022-11-22T06:35:00Z</dcterms:created>
  <dcterms:modified xsi:type="dcterms:W3CDTF">2022-11-22T06:36:00Z</dcterms:modified>
</cp:coreProperties>
</file>