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3F8D" w:rsidRDefault="00805A74" w:rsidP="00805A74">
      <w:pPr>
        <w:jc w:val="both"/>
        <w:rPr>
          <w:rFonts w:ascii="Times New Roman" w:eastAsia="Times New Roman" w:hAnsi="Times New Roman" w:cs="Times New Roman"/>
          <w:color w:val="212529"/>
          <w:sz w:val="32"/>
          <w:szCs w:val="32"/>
          <w:lang w:eastAsia="en-IN" w:bidi="mr-IN"/>
        </w:rPr>
      </w:pPr>
      <w:r w:rsidRPr="00805A74">
        <w:rPr>
          <w:rFonts w:ascii="Times New Roman" w:eastAsia="Times New Roman" w:hAnsi="Times New Roman" w:cs="Times New Roman"/>
          <w:color w:val="212529"/>
          <w:sz w:val="32"/>
          <w:szCs w:val="32"/>
          <w:lang w:eastAsia="en-IN" w:bidi="mr-IN"/>
        </w:rPr>
        <w:t>Inhibitors of multidrug efflux pumps from natural sources: an in-</w:t>
      </w:r>
      <w:r w:rsidRPr="00805A74">
        <w:rPr>
          <w:rFonts w:ascii="Times New Roman" w:eastAsia="Times New Roman" w:hAnsi="Times New Roman" w:cs="Times New Roman"/>
          <w:color w:val="212529"/>
          <w:sz w:val="32"/>
          <w:szCs w:val="32"/>
          <w:lang w:eastAsia="en-IN" w:bidi="mr-IN"/>
        </w:rPr>
        <w:t>silicon</w:t>
      </w:r>
      <w:r w:rsidRPr="00805A74">
        <w:rPr>
          <w:rFonts w:ascii="Times New Roman" w:eastAsia="Times New Roman" w:hAnsi="Times New Roman" w:cs="Times New Roman"/>
          <w:color w:val="212529"/>
          <w:sz w:val="32"/>
          <w:szCs w:val="32"/>
          <w:lang w:eastAsia="en-IN" w:bidi="mr-IN"/>
        </w:rPr>
        <w:t xml:space="preserve"> high-throughput virtual screening and in</w:t>
      </w:r>
      <w:r>
        <w:rPr>
          <w:rFonts w:ascii="Times New Roman" w:eastAsia="Times New Roman" w:hAnsi="Times New Roman" w:cs="Times New Roman"/>
          <w:color w:val="212529"/>
          <w:sz w:val="32"/>
          <w:szCs w:val="32"/>
          <w:lang w:eastAsia="en-IN" w:bidi="mr-IN"/>
        </w:rPr>
        <w:t>-vitro validation &amp; Formulation</w:t>
      </w:r>
    </w:p>
    <w:p w:rsidR="00805A74" w:rsidRPr="00805A74" w:rsidRDefault="00805A74" w:rsidP="00805A74">
      <w:pPr>
        <w:pStyle w:val="NoSpacing"/>
        <w:rPr>
          <w:rFonts w:ascii="Times New Roman" w:hAnsi="Times New Roman" w:cs="Times New Roman"/>
          <w:sz w:val="24"/>
          <w:szCs w:val="24"/>
          <w:lang w:eastAsia="en-IN" w:bidi="mr-IN"/>
        </w:rPr>
      </w:pPr>
      <w:r w:rsidRPr="00805A74">
        <w:rPr>
          <w:rFonts w:ascii="Times New Roman" w:hAnsi="Times New Roman" w:cs="Times New Roman"/>
          <w:sz w:val="24"/>
          <w:szCs w:val="24"/>
          <w:lang w:eastAsia="en-IN" w:bidi="mr-IN"/>
        </w:rPr>
        <w:t>Ghodgaonkar Sunaina, Juvatkar PV</w:t>
      </w:r>
      <w:r w:rsidRPr="00805A74">
        <w:rPr>
          <w:rFonts w:ascii="Times New Roman" w:hAnsi="Times New Roman" w:cs="Times New Roman"/>
          <w:sz w:val="24"/>
          <w:szCs w:val="24"/>
          <w:lang w:eastAsia="en-IN" w:bidi="mr-IN"/>
        </w:rPr>
        <w:t>*</w:t>
      </w:r>
      <w:r w:rsidRPr="00805A74">
        <w:rPr>
          <w:rFonts w:ascii="Times New Roman" w:hAnsi="Times New Roman" w:cs="Times New Roman"/>
          <w:sz w:val="24"/>
          <w:szCs w:val="24"/>
          <w:lang w:eastAsia="en-IN" w:bidi="mr-IN"/>
        </w:rPr>
        <w:t>, Kale Mohan</w:t>
      </w:r>
      <w:r w:rsidRPr="00805A74">
        <w:rPr>
          <w:rFonts w:ascii="Times New Roman" w:hAnsi="Times New Roman" w:cs="Times New Roman"/>
          <w:sz w:val="24"/>
          <w:szCs w:val="24"/>
          <w:lang w:eastAsia="en-IN" w:bidi="mr-IN"/>
        </w:rPr>
        <w:t>*, Pawar Harsha*, Pisekar Saloni*, Pote Mugdha*, Sapkal Rachana*</w:t>
      </w:r>
    </w:p>
    <w:p w:rsidR="00805A74" w:rsidRPr="00805A74" w:rsidRDefault="00805A74" w:rsidP="00805A74">
      <w:pPr>
        <w:pStyle w:val="NoSpacing"/>
        <w:rPr>
          <w:rFonts w:ascii="Times New Roman" w:hAnsi="Times New Roman" w:cs="Times New Roman"/>
          <w:lang w:eastAsia="en-IN" w:bidi="mr-IN"/>
        </w:rPr>
      </w:pPr>
      <w:r w:rsidRPr="00805A74">
        <w:rPr>
          <w:rFonts w:ascii="Times New Roman" w:hAnsi="Times New Roman" w:cs="Times New Roman"/>
          <w:lang w:eastAsia="en-IN" w:bidi="mr-IN"/>
        </w:rPr>
        <w:t>Shri Pandit Baburao Chaughule College of Pharmacy, Bhiwandi</w:t>
      </w:r>
    </w:p>
    <w:p w:rsidR="00805A74" w:rsidRPr="00805A74" w:rsidRDefault="00805A74" w:rsidP="00805A74">
      <w:pPr>
        <w:pStyle w:val="NoSpacing"/>
        <w:rPr>
          <w:rFonts w:ascii="Times New Roman" w:hAnsi="Times New Roman" w:cs="Times New Roman"/>
          <w:sz w:val="20"/>
          <w:szCs w:val="20"/>
          <w:lang w:eastAsia="en-IN" w:bidi="mr-IN"/>
        </w:rPr>
      </w:pPr>
    </w:p>
    <w:p w:rsidR="00805A74" w:rsidRPr="00805A74" w:rsidRDefault="00805A74" w:rsidP="00805A74">
      <w:pPr>
        <w:jc w:val="center"/>
        <w:rPr>
          <w:rFonts w:ascii="Times New Roman" w:hAnsi="Times New Roman" w:cs="Times New Roman"/>
          <w:b/>
          <w:bCs/>
          <w:sz w:val="24"/>
          <w:szCs w:val="24"/>
        </w:rPr>
      </w:pPr>
      <w:r w:rsidRPr="00805A74">
        <w:rPr>
          <w:rFonts w:ascii="Times New Roman" w:hAnsi="Times New Roman" w:cs="Times New Roman"/>
          <w:b/>
          <w:bCs/>
          <w:sz w:val="24"/>
          <w:szCs w:val="24"/>
        </w:rPr>
        <w:t>Abstract</w:t>
      </w:r>
    </w:p>
    <w:p w:rsidR="00805A74" w:rsidRPr="00805A74" w:rsidRDefault="00805A74" w:rsidP="00805A74">
      <w:pPr>
        <w:spacing w:line="360" w:lineRule="auto"/>
        <w:ind w:left="360"/>
        <w:jc w:val="both"/>
        <w:rPr>
          <w:b/>
          <w:bCs/>
          <w:sz w:val="20"/>
          <w:szCs w:val="20"/>
        </w:rPr>
      </w:pPr>
      <w:r w:rsidRPr="00805A74">
        <w:rPr>
          <w:rFonts w:ascii="Times New Roman" w:hAnsi="Times New Roman" w:cs="Times New Roman"/>
          <w:sz w:val="20"/>
          <w:szCs w:val="20"/>
        </w:rPr>
        <w:t xml:space="preserve">Antimicrobial resistance in bacterial pathogens is a challenge that is associated with high morbidity and mortality. </w:t>
      </w:r>
      <w:r w:rsidRPr="00805A74">
        <w:rPr>
          <w:rStyle w:val="Emphasis"/>
          <w:rFonts w:ascii="Times New Roman" w:hAnsi="Times New Roman" w:cs="Times New Roman"/>
          <w:b/>
          <w:bCs/>
          <w:sz w:val="20"/>
          <w:szCs w:val="20"/>
          <w:shd w:val="clear" w:color="auto" w:fill="FFFFFF"/>
        </w:rPr>
        <w:t>Antibiotic resistance</w:t>
      </w:r>
      <w:r w:rsidRPr="00805A74">
        <w:rPr>
          <w:rFonts w:ascii="Times New Roman" w:hAnsi="Times New Roman" w:cs="Times New Roman"/>
          <w:sz w:val="20"/>
          <w:szCs w:val="20"/>
          <w:shd w:val="clear" w:color="auto" w:fill="FFFFFF"/>
        </w:rPr>
        <w:t xml:space="preserve"> happens when germs like bacteria and fungi develop the ability to defeat the drugs designed to kill them. </w:t>
      </w:r>
      <w:r w:rsidRPr="00805A74">
        <w:rPr>
          <w:rFonts w:ascii="Times New Roman" w:hAnsi="Times New Roman" w:cs="Times New Roman"/>
          <w:color w:val="000000"/>
          <w:sz w:val="20"/>
          <w:szCs w:val="20"/>
          <w:shd w:val="clear" w:color="auto" w:fill="FFFFFF"/>
        </w:rPr>
        <w:t xml:space="preserve">Overuse of antibiotics is the principal cause of resistance evolution. </w:t>
      </w:r>
      <w:r w:rsidRPr="00805A74">
        <w:rPr>
          <w:rFonts w:ascii="Times New Roman" w:hAnsi="Times New Roman" w:cs="Times New Roman"/>
          <w:sz w:val="20"/>
          <w:szCs w:val="20"/>
        </w:rPr>
        <w:t>Incorrectly prescribed antibiotics also contribute to the promotion of resistant bacteria. Acquisition of genetic material that confers resistance is possible through all of the main routes by which bacteria acquire any genetic material: transformation, transposition, and conjugation. There are multiple components in the bacterial cell that may be targets of antimicrobial agents, and there are just as many targets that may be modified by the bacteria to enable resistance to those drugs. Efflux pumps allow the microorganisms to regulate their internal environment by removing toxic substances, including antimicrobial agents, metabolites and quorum sensing signal molecules. We have screened an in-</w:t>
      </w:r>
      <w:r w:rsidRPr="00805A74">
        <w:rPr>
          <w:rFonts w:ascii="Times New Roman" w:hAnsi="Times New Roman" w:cs="Times New Roman"/>
          <w:sz w:val="20"/>
          <w:szCs w:val="20"/>
        </w:rPr>
        <w:t>silicon</w:t>
      </w:r>
      <w:r w:rsidRPr="00805A74">
        <w:rPr>
          <w:rFonts w:ascii="Times New Roman" w:hAnsi="Times New Roman" w:cs="Times New Roman"/>
          <w:sz w:val="20"/>
          <w:szCs w:val="20"/>
        </w:rPr>
        <w:t xml:space="preserve"> library of natural compounds to evaluate their ability to inhibit MexAB-OprM [PDB ID: 1lnw and 5daj] efflux system of Pseudomonas aeruginosa and MepA [PDB ID: 3ECO] efflux system of Staphylococcus aureus by binding specific efflux protein. We employed HTVS (High Throughput Virtual Screening) docking using MOE docking software to identify hits from the Pubchem database subset.A total of 20 compounds were shortlisted against MepA and MexABOprm considering the site of interaction suitable efflux pump inhibitory compounds were selected based on predicted binding energy. Molecular docking calculations identified Hesperidin from Citrus aurantium peels and carnosic acid from Rosmarinus officinalis leaves as good candidates to inhibit the MexAB-Oprm efflux pump of P.aeruginosa and 3ECO efflux pump of Staphylococcus aureus. </w:t>
      </w:r>
      <w:r w:rsidRPr="00805A74">
        <w:rPr>
          <w:rFonts w:ascii="Times New Roman" w:hAnsi="Times New Roman" w:cs="Times New Roman"/>
          <w:sz w:val="20"/>
          <w:szCs w:val="20"/>
          <w:lang w:val="en-US"/>
        </w:rPr>
        <w:t>These results are further validated by in vitro microbiological assays that showed their activity.</w:t>
      </w:r>
      <w:r w:rsidRPr="00805A74">
        <w:rPr>
          <w:rFonts w:ascii="Times New Roman" w:hAnsi="Times New Roman" w:cs="Times New Roman"/>
          <w:sz w:val="20"/>
          <w:szCs w:val="20"/>
        </w:rPr>
        <w:t xml:space="preserve"> Further antimicrobial herbal extract ointment prepared from isolated tested constituents. The resultant formulation is also evaluated for formulation and evaluation for antimicrobial activity. </w:t>
      </w:r>
      <w:bookmarkStart w:id="0" w:name="_GoBack"/>
      <w:bookmarkEnd w:id="0"/>
    </w:p>
    <w:p w:rsidR="00805A74" w:rsidRPr="00805A74" w:rsidRDefault="00805A74" w:rsidP="00805A74">
      <w:pPr>
        <w:shd w:val="clear" w:color="auto" w:fill="FFFFFF"/>
        <w:spacing w:after="600" w:line="240" w:lineRule="auto"/>
        <w:jc w:val="both"/>
        <w:outlineLvl w:val="1"/>
        <w:rPr>
          <w:rFonts w:ascii="Arial" w:eastAsia="Times New Roman" w:hAnsi="Arial" w:cs="Arial"/>
          <w:color w:val="212529"/>
          <w:sz w:val="20"/>
          <w:szCs w:val="20"/>
          <w:vertAlign w:val="superscript"/>
          <w:lang w:eastAsia="en-IN" w:bidi="mr-IN"/>
        </w:rPr>
      </w:pPr>
    </w:p>
    <w:p w:rsidR="00805A74" w:rsidRPr="00805A74" w:rsidRDefault="00805A74" w:rsidP="00805A74">
      <w:pPr>
        <w:jc w:val="both"/>
        <w:rPr>
          <w:rFonts w:ascii="Times New Roman" w:hAnsi="Times New Roman" w:cs="Times New Roman"/>
          <w:sz w:val="32"/>
          <w:szCs w:val="32"/>
        </w:rPr>
      </w:pPr>
    </w:p>
    <w:sectPr w:rsidR="00805A74" w:rsidRPr="00805A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5A74"/>
    <w:rsid w:val="00805A74"/>
    <w:rsid w:val="009C3F8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05A74"/>
    <w:pPr>
      <w:spacing w:after="0" w:line="240" w:lineRule="auto"/>
    </w:pPr>
  </w:style>
  <w:style w:type="character" w:styleId="Emphasis">
    <w:name w:val="Emphasis"/>
    <w:basedOn w:val="DefaultParagraphFont"/>
    <w:uiPriority w:val="20"/>
    <w:qFormat/>
    <w:rsid w:val="00805A7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05A74"/>
    <w:pPr>
      <w:spacing w:after="0" w:line="240" w:lineRule="auto"/>
    </w:pPr>
  </w:style>
  <w:style w:type="character" w:styleId="Emphasis">
    <w:name w:val="Emphasis"/>
    <w:basedOn w:val="DefaultParagraphFont"/>
    <w:uiPriority w:val="20"/>
    <w:qFormat/>
    <w:rsid w:val="00805A7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7314017">
      <w:bodyDiv w:val="1"/>
      <w:marLeft w:val="0"/>
      <w:marRight w:val="0"/>
      <w:marTop w:val="0"/>
      <w:marBottom w:val="0"/>
      <w:divBdr>
        <w:top w:val="none" w:sz="0" w:space="0" w:color="auto"/>
        <w:left w:val="none" w:sz="0" w:space="0" w:color="auto"/>
        <w:bottom w:val="none" w:sz="0" w:space="0" w:color="auto"/>
        <w:right w:val="none" w:sz="0" w:space="0" w:color="auto"/>
      </w:divBdr>
    </w:div>
    <w:div w:id="517700668">
      <w:bodyDiv w:val="1"/>
      <w:marLeft w:val="0"/>
      <w:marRight w:val="0"/>
      <w:marTop w:val="0"/>
      <w:marBottom w:val="0"/>
      <w:divBdr>
        <w:top w:val="none" w:sz="0" w:space="0" w:color="auto"/>
        <w:left w:val="none" w:sz="0" w:space="0" w:color="auto"/>
        <w:bottom w:val="none" w:sz="0" w:space="0" w:color="auto"/>
        <w:right w:val="none" w:sz="0" w:space="0" w:color="auto"/>
      </w:divBdr>
    </w:div>
    <w:div w:id="1089160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369</Words>
  <Characters>2105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2022-11-22T06:01:00Z</dcterms:created>
  <dcterms:modified xsi:type="dcterms:W3CDTF">2022-11-22T06:07:00Z</dcterms:modified>
</cp:coreProperties>
</file>