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429" w:rsidRPr="00791BBE" w:rsidRDefault="00CF7429" w:rsidP="00CF7429">
      <w:pPr>
        <w:pStyle w:val="MDPI12title"/>
        <w:rPr>
          <w:rFonts w:ascii="Times New Roman" w:eastAsia="MS PGothic" w:hAnsi="Times New Roman"/>
          <w:sz w:val="32"/>
          <w:szCs w:val="32"/>
        </w:rPr>
      </w:pPr>
      <w:r w:rsidRPr="00791BBE">
        <w:rPr>
          <w:rFonts w:ascii="Times New Roman" w:eastAsia="MS PGothic" w:hAnsi="Times New Roman"/>
          <w:sz w:val="32"/>
          <w:szCs w:val="32"/>
        </w:rPr>
        <w:t xml:space="preserve">Review on the Use of </w:t>
      </w:r>
      <w:proofErr w:type="spellStart"/>
      <w:r w:rsidRPr="00791BBE">
        <w:rPr>
          <w:rFonts w:ascii="Times New Roman" w:eastAsia="MS PGothic" w:hAnsi="Times New Roman"/>
          <w:sz w:val="32"/>
          <w:szCs w:val="32"/>
        </w:rPr>
        <w:t>Kojic</w:t>
      </w:r>
      <w:proofErr w:type="spellEnd"/>
      <w:r w:rsidRPr="00791BBE">
        <w:rPr>
          <w:rFonts w:ascii="Times New Roman" w:eastAsia="MS PGothic" w:hAnsi="Times New Roman"/>
          <w:sz w:val="32"/>
          <w:szCs w:val="32"/>
        </w:rPr>
        <w:t xml:space="preserve"> Acid, a Skin-Lightening Ingredient</w:t>
      </w:r>
    </w:p>
    <w:p w:rsidR="00CF7429" w:rsidRPr="00324429" w:rsidRDefault="00CF7429" w:rsidP="00CF7429">
      <w:pPr>
        <w:rPr>
          <w:rFonts w:eastAsia="MS PGothic"/>
          <w:color w:val="000000"/>
        </w:rPr>
      </w:pPr>
      <w:r w:rsidRPr="00324429">
        <w:rPr>
          <w:rFonts w:eastAsia="MS PGothic"/>
          <w:color w:val="000000"/>
        </w:rPr>
        <w:br/>
      </w:r>
      <w:bookmarkStart w:id="0" w:name="_GoBack"/>
      <w:r w:rsidRPr="00324429">
        <w:rPr>
          <w:rFonts w:eastAsia="MS PGothic"/>
          <w:color w:val="000000"/>
        </w:rPr>
        <w:t>Vivey Phasha</w:t>
      </w:r>
      <w:bookmarkEnd w:id="0"/>
      <w:r>
        <w:rPr>
          <w:rFonts w:eastAsia="MS PGothic"/>
          <w:color w:val="000000"/>
        </w:rPr>
        <w:t>*</w:t>
      </w:r>
    </w:p>
    <w:p w:rsidR="00CF7429" w:rsidRPr="00324429" w:rsidRDefault="00CF7429" w:rsidP="00CF7429">
      <w:pPr>
        <w:rPr>
          <w:rFonts w:eastAsia="MS PGothic"/>
          <w:color w:val="000000"/>
        </w:rPr>
      </w:pPr>
    </w:p>
    <w:p w:rsidR="00CF7429" w:rsidRPr="00791BBE" w:rsidRDefault="00CF7429" w:rsidP="00CF7429">
      <w:pPr>
        <w:rPr>
          <w:rFonts w:eastAsia="MS PGothic"/>
          <w:color w:val="000000"/>
          <w:sz w:val="22"/>
          <w:szCs w:val="22"/>
        </w:rPr>
      </w:pPr>
      <w:r w:rsidRPr="00791BBE">
        <w:rPr>
          <w:rFonts w:eastAsia="MS PGothic"/>
          <w:color w:val="000000"/>
          <w:sz w:val="22"/>
          <w:szCs w:val="22"/>
        </w:rPr>
        <w:t>Council For Scientific and Industrial Research (CSIR), Pretoria, Gauteng, SA</w:t>
      </w:r>
    </w:p>
    <w:p w:rsidR="00CF7429" w:rsidRDefault="00CF7429" w:rsidP="00CF7429">
      <w:pPr>
        <w:jc w:val="center"/>
        <w:rPr>
          <w:rFonts w:eastAsia="Batang"/>
          <w:b/>
        </w:rPr>
      </w:pPr>
    </w:p>
    <w:p w:rsidR="00CF7429" w:rsidRPr="00791BBE" w:rsidRDefault="00CF7429" w:rsidP="00CF7429">
      <w:pPr>
        <w:jc w:val="center"/>
        <w:rPr>
          <w:rFonts w:eastAsia="Batang"/>
          <w:b/>
        </w:rPr>
      </w:pPr>
      <w:r w:rsidRPr="00791BBE">
        <w:rPr>
          <w:rFonts w:eastAsia="Batang"/>
          <w:b/>
        </w:rPr>
        <w:t>Abstract</w:t>
      </w:r>
    </w:p>
    <w:p w:rsidR="00CF7429" w:rsidRPr="00791BBE" w:rsidRDefault="00CF7429" w:rsidP="00CF7429">
      <w:pPr>
        <w:jc w:val="both"/>
        <w:rPr>
          <w:sz w:val="20"/>
          <w:szCs w:val="20"/>
        </w:rPr>
      </w:pPr>
      <w:r w:rsidRPr="00791BBE">
        <w:rPr>
          <w:sz w:val="20"/>
          <w:szCs w:val="20"/>
        </w:rPr>
        <w:t xml:space="preserve">CSIR, Advanced Agriculture and Food together with the University of Kwa-Zulu Natal through bioprospecting research have identified an active ingredient from the cultures of </w:t>
      </w:r>
      <w:r w:rsidRPr="00791BBE">
        <w:rPr>
          <w:i/>
          <w:iCs/>
          <w:sz w:val="20"/>
          <w:szCs w:val="20"/>
        </w:rPr>
        <w:t>Aspergillus Flavus</w:t>
      </w:r>
      <w:r w:rsidRPr="00791BBE">
        <w:rPr>
          <w:sz w:val="20"/>
          <w:szCs w:val="20"/>
        </w:rPr>
        <w:t>, that has potent tyrosinase inhibition activity. It was studied and developed to address hyperpigmentation. This ingredient, Kojic Acid (KA) has been widely used as a skin-lightening ingredient in the cosmetics industry. In 1907, Saito discovered KA, a natural product; it has since become one of the most investigated skin-lightening agents. It has been found that KA has certain disadvantages, and researchers have attempted to mitigate these disadvantages by designing new equivalents of KA that are more efficient in tyrosinase inhibition. These equivalents are also safe to use and have improved properties and solubility. The Cosmeceutical Ingredient Review (CIR) indicates that this ingredient can be safely used at a concentration not higher than 1% due to its cytotoxicity. Other scientific data also support its safety at a concentration of 2% or less. It was shown to be helpful in the treatment of hyper pigmentary disorders, such as freckles, age spots, post-inflammatory hyperpigmentation, and melasma, which has been proven clinically.</w:t>
      </w:r>
    </w:p>
    <w:p w:rsidR="00CF7429" w:rsidRDefault="00CF7429" w:rsidP="00CF7429">
      <w:pPr>
        <w:widowControl w:val="0"/>
        <w:autoSpaceDE w:val="0"/>
        <w:autoSpaceDN w:val="0"/>
        <w:adjustRightInd w:val="0"/>
        <w:spacing w:line="240" w:lineRule="atLeast"/>
        <w:rPr>
          <w:lang w:val="en-NZ"/>
        </w:rPr>
      </w:pPr>
    </w:p>
    <w:p w:rsidR="00CF7429" w:rsidRPr="00791BBE" w:rsidRDefault="00CF7429" w:rsidP="00CF7429">
      <w:pPr>
        <w:widowControl w:val="0"/>
        <w:autoSpaceDE w:val="0"/>
        <w:autoSpaceDN w:val="0"/>
        <w:adjustRightInd w:val="0"/>
        <w:spacing w:line="240" w:lineRule="atLeast"/>
        <w:rPr>
          <w:b/>
          <w:lang w:val="en-NZ"/>
        </w:rPr>
      </w:pPr>
      <w:r w:rsidRPr="00791BBE">
        <w:rPr>
          <w:b/>
          <w:lang w:val="en-NZ"/>
        </w:rPr>
        <w:t>References</w:t>
      </w:r>
    </w:p>
    <w:p w:rsidR="00CF7429" w:rsidRPr="00324429" w:rsidRDefault="00CF7429" w:rsidP="00CF7429">
      <w:pPr>
        <w:autoSpaceDE w:val="0"/>
        <w:autoSpaceDN w:val="0"/>
        <w:adjustRightInd w:val="0"/>
        <w:rPr>
          <w:lang w:val="en-NZ"/>
        </w:rPr>
      </w:pP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324429">
        <w:fldChar w:fldCharType="begin" w:fldLock="1"/>
      </w:r>
      <w:r w:rsidRPr="00324429">
        <w:instrText xml:space="preserve">ADDIN Mendeley Bibliography CSL_BIBLIOGRAPHY </w:instrText>
      </w:r>
      <w:r w:rsidRPr="00324429">
        <w:fldChar w:fldCharType="separate"/>
      </w:r>
      <w:r w:rsidRPr="00791BBE">
        <w:rPr>
          <w:sz w:val="20"/>
          <w:szCs w:val="20"/>
        </w:rPr>
        <w:t xml:space="preserve"> Phasha</w:t>
      </w:r>
      <w:r>
        <w:rPr>
          <w:sz w:val="20"/>
          <w:szCs w:val="20"/>
        </w:rPr>
        <w:t xml:space="preserve"> V</w:t>
      </w:r>
      <w:r w:rsidRPr="00791BBE">
        <w:rPr>
          <w:sz w:val="20"/>
          <w:szCs w:val="20"/>
        </w:rPr>
        <w:t xml:space="preserve"> and G. Karakay, “Kojic Acid Derivatives,” in Medicinal Chemistry and Drug Design, 2012, pp. 1–27.</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Phasha, V., Senabe, J., Ndzotoyi, P., Okole, B., Fouche, G., &amp; Chuturgoon, A. (2022). Review on the Use of Kojic Acid—A Skin-Lightening Ingredient. Cosmetics, 9(3), 64.</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lang w:val="en-ZA"/>
        </w:rPr>
      </w:pPr>
      <w:r w:rsidRPr="00791BBE">
        <w:rPr>
          <w:sz w:val="20"/>
          <w:szCs w:val="20"/>
        </w:rPr>
        <w:t xml:space="preserve">Hasil, A., Mehmood, A., Noureen, S., &amp; Ahmed, M. (2020). Experimental and theoretical charge density analysis of skin whitening agent kojic acid. Journal of Molecular </w:t>
      </w:r>
      <w:r w:rsidRPr="00791BBE">
        <w:rPr>
          <w:sz w:val="20"/>
          <w:szCs w:val="20"/>
          <w:lang w:val="en-US"/>
        </w:rPr>
        <w:t>Structure, 1216, 128295.</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lang w:val="en-ZA"/>
        </w:rPr>
      </w:pPr>
      <w:r w:rsidRPr="00791BBE">
        <w:rPr>
          <w:sz w:val="20"/>
          <w:szCs w:val="20"/>
          <w:lang w:val="en-US"/>
        </w:rPr>
        <w:t xml:space="preserve"> S. E. </w:t>
      </w:r>
      <w:proofErr w:type="spellStart"/>
      <w:r w:rsidRPr="00791BBE">
        <w:rPr>
          <w:sz w:val="20"/>
          <w:szCs w:val="20"/>
          <w:lang w:val="en-US"/>
        </w:rPr>
        <w:t>Seyedeh</w:t>
      </w:r>
      <w:proofErr w:type="spellEnd"/>
      <w:r w:rsidRPr="00791BBE">
        <w:rPr>
          <w:sz w:val="20"/>
          <w:szCs w:val="20"/>
          <w:lang w:val="en-US"/>
        </w:rPr>
        <w:t xml:space="preserve"> </w:t>
      </w:r>
      <w:proofErr w:type="spellStart"/>
      <w:r w:rsidRPr="00791BBE">
        <w:rPr>
          <w:sz w:val="20"/>
          <w:szCs w:val="20"/>
          <w:lang w:val="en-US"/>
        </w:rPr>
        <w:t>Mahdieh</w:t>
      </w:r>
      <w:proofErr w:type="spellEnd"/>
      <w:r w:rsidRPr="00791BBE">
        <w:rPr>
          <w:sz w:val="20"/>
          <w:szCs w:val="20"/>
          <w:lang w:val="en-US"/>
        </w:rPr>
        <w:t xml:space="preserve"> </w:t>
      </w:r>
      <w:proofErr w:type="spellStart"/>
      <w:r w:rsidRPr="00791BBE">
        <w:rPr>
          <w:sz w:val="20"/>
          <w:szCs w:val="20"/>
          <w:lang w:val="en-US"/>
        </w:rPr>
        <w:t>Hashemi</w:t>
      </w:r>
      <w:proofErr w:type="spellEnd"/>
      <w:r w:rsidRPr="00791BBE">
        <w:rPr>
          <w:sz w:val="20"/>
          <w:szCs w:val="20"/>
          <w:lang w:val="en-US"/>
        </w:rPr>
        <w:t>, “</w:t>
      </w:r>
      <w:proofErr w:type="spellStart"/>
      <w:r w:rsidRPr="00791BBE">
        <w:rPr>
          <w:sz w:val="20"/>
          <w:szCs w:val="20"/>
          <w:lang w:val="en-US"/>
        </w:rPr>
        <w:t>Kojic</w:t>
      </w:r>
      <w:proofErr w:type="spellEnd"/>
      <w:r w:rsidRPr="00791BBE">
        <w:rPr>
          <w:sz w:val="20"/>
          <w:szCs w:val="20"/>
          <w:lang w:val="en-US"/>
        </w:rPr>
        <w:t xml:space="preserve"> acid-derived </w:t>
      </w:r>
      <w:proofErr w:type="spellStart"/>
      <w:r w:rsidRPr="00791BBE">
        <w:rPr>
          <w:sz w:val="20"/>
          <w:szCs w:val="20"/>
          <w:lang w:val="en-US"/>
        </w:rPr>
        <w:t>tyrosinase</w:t>
      </w:r>
      <w:proofErr w:type="spellEnd"/>
      <w:r w:rsidRPr="00791BBE">
        <w:rPr>
          <w:sz w:val="20"/>
          <w:szCs w:val="20"/>
          <w:lang w:val="en-US"/>
        </w:rPr>
        <w:t xml:space="preserve"> inhibitors: synthesis and bioactivity,” Pharm. Biomed. Res., vol. 1, no. 1, pp. 1–17, Jan. 2015, [Online]. Available: http://pbr.mazums.ac.ir.</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M. Saeedi, M. Eslamifar, and K. Khezri, “Kojic acid applications in cosmetic and pharmaceutical preparations,” </w:t>
      </w:r>
      <w:r w:rsidRPr="00791BBE">
        <w:rPr>
          <w:i/>
          <w:iCs/>
          <w:sz w:val="20"/>
          <w:szCs w:val="20"/>
        </w:rPr>
        <w:t>Biomedicine and Pharmacotherapy</w:t>
      </w:r>
      <w:r w:rsidRPr="00791BBE">
        <w:rPr>
          <w:sz w:val="20"/>
          <w:szCs w:val="20"/>
        </w:rPr>
        <w:t>, vol. 110, no. September 2018, Elsevier, pp. 582–593, 2019.</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S. Desai </w:t>
      </w:r>
      <w:r w:rsidRPr="00791BBE">
        <w:rPr>
          <w:i/>
          <w:iCs/>
          <w:sz w:val="20"/>
          <w:szCs w:val="20"/>
        </w:rPr>
        <w:t>et al.</w:t>
      </w:r>
      <w:r w:rsidRPr="00791BBE">
        <w:rPr>
          <w:sz w:val="20"/>
          <w:szCs w:val="20"/>
        </w:rPr>
        <w:t xml:space="preserve">, “Effect of a Tranexamic Acid, Kojic Acid, and Niacinamide Containing Serum on Facial Dyschromia: A Clinical Evaluation,” </w:t>
      </w:r>
      <w:r w:rsidRPr="00791BBE">
        <w:rPr>
          <w:i/>
          <w:iCs/>
          <w:sz w:val="20"/>
          <w:szCs w:val="20"/>
        </w:rPr>
        <w:t>J. Drugs Dermatol.</w:t>
      </w:r>
      <w:r w:rsidRPr="00791BBE">
        <w:rPr>
          <w:sz w:val="20"/>
          <w:szCs w:val="20"/>
        </w:rPr>
        <w:t>, vol. 18, no. 5, pp. 454–459, 2019.</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M. N. Masum, K. Yamauchi, and T. Mitsunaga, “Tyrosinase inhibitors from natural and synthetic sources as skin-lightening agents,” </w:t>
      </w:r>
      <w:r w:rsidRPr="00791BBE">
        <w:rPr>
          <w:i/>
          <w:iCs/>
          <w:sz w:val="20"/>
          <w:szCs w:val="20"/>
        </w:rPr>
        <w:t>Rev. Agric. Sci.</w:t>
      </w:r>
      <w:r w:rsidRPr="00791BBE">
        <w:rPr>
          <w:sz w:val="20"/>
          <w:szCs w:val="20"/>
        </w:rPr>
        <w:t>, vol. 7, pp. 41–58, 2019, doi: 10.7831/ras.7.41.</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F. Bashir, K. Sultana, M. Khalid, H. Rabia, and H. Khan, “Kojic Acid : A Comprehensive Review Abstract : Keywords : The Applications of Kojic Acid Kojic acid,” </w:t>
      </w:r>
      <w:r w:rsidRPr="00791BBE">
        <w:rPr>
          <w:i/>
          <w:iCs/>
          <w:sz w:val="20"/>
          <w:szCs w:val="20"/>
        </w:rPr>
        <w:t>AJAHAS</w:t>
      </w:r>
      <w:r w:rsidRPr="00791BBE">
        <w:rPr>
          <w:sz w:val="20"/>
          <w:szCs w:val="20"/>
        </w:rPr>
        <w:t>, vol. 06, no. 01, pp. 13–17, 2021.</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C. Chambers </w:t>
      </w:r>
      <w:r w:rsidRPr="00791BBE">
        <w:rPr>
          <w:i/>
          <w:iCs/>
          <w:sz w:val="20"/>
          <w:szCs w:val="20"/>
        </w:rPr>
        <w:t>et al.</w:t>
      </w:r>
      <w:r w:rsidRPr="00791BBE">
        <w:rPr>
          <w:sz w:val="20"/>
          <w:szCs w:val="20"/>
        </w:rPr>
        <w:t xml:space="preserve">, “Opinion on kojic acid,” </w:t>
      </w:r>
      <w:r w:rsidRPr="00791BBE">
        <w:rPr>
          <w:i/>
          <w:iCs/>
          <w:sz w:val="20"/>
          <w:szCs w:val="20"/>
        </w:rPr>
        <w:t>Sci. Committees Consum. Prod.</w:t>
      </w:r>
      <w:r w:rsidRPr="00791BBE">
        <w:rPr>
          <w:sz w:val="20"/>
          <w:szCs w:val="20"/>
        </w:rPr>
        <w:t>, no. September, pp. 1–79, 2008.</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ab/>
        <w:t xml:space="preserve">J. Chaudhary, “Production Technology and Applications of Kojic Acid,” </w:t>
      </w:r>
      <w:r w:rsidRPr="00791BBE">
        <w:rPr>
          <w:i/>
          <w:iCs/>
          <w:sz w:val="20"/>
          <w:szCs w:val="20"/>
        </w:rPr>
        <w:t>Annu. Res. Rev. Biol.</w:t>
      </w:r>
      <w:r w:rsidRPr="00791BBE">
        <w:rPr>
          <w:sz w:val="20"/>
          <w:szCs w:val="20"/>
        </w:rPr>
        <w:t>, vol. 4, no. 21, pp. 3165–3196, 2014, doi: 10.9734/arrb/2014/10643.</w:t>
      </w:r>
    </w:p>
    <w:p w:rsidR="00CF7429" w:rsidRPr="00791BBE" w:rsidRDefault="00CF7429" w:rsidP="00CF7429">
      <w:pPr>
        <w:widowControl w:val="0"/>
        <w:autoSpaceDE w:val="0"/>
        <w:autoSpaceDN w:val="0"/>
        <w:adjustRightInd w:val="0"/>
        <w:spacing w:line="240" w:lineRule="atLeast"/>
        <w:ind w:left="640" w:hanging="640"/>
        <w:jc w:val="both"/>
        <w:rPr>
          <w:sz w:val="20"/>
          <w:szCs w:val="20"/>
        </w:rPr>
      </w:pP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C. L. Burnett </w:t>
      </w:r>
      <w:r w:rsidRPr="00791BBE">
        <w:rPr>
          <w:i/>
          <w:iCs/>
          <w:sz w:val="20"/>
          <w:szCs w:val="20"/>
        </w:rPr>
        <w:t>et al.</w:t>
      </w:r>
      <w:r w:rsidRPr="00791BBE">
        <w:rPr>
          <w:sz w:val="20"/>
          <w:szCs w:val="20"/>
        </w:rPr>
        <w:t xml:space="preserve">, “Final report of the safety assessment of kojic acid as used in cosmetics,” </w:t>
      </w:r>
      <w:r w:rsidRPr="00791BBE">
        <w:rPr>
          <w:i/>
          <w:iCs/>
          <w:sz w:val="20"/>
          <w:szCs w:val="20"/>
        </w:rPr>
        <w:t>Int. J. Toxicol.</w:t>
      </w:r>
      <w:r w:rsidRPr="00791BBE">
        <w:rPr>
          <w:sz w:val="20"/>
          <w:szCs w:val="20"/>
        </w:rPr>
        <w:t>, vol. 29, no. 6, 2010, doi: 10.1177/1091581810385956.</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J. Brtko, L. Rondahl, M. Ficková, D. Hudecová, V. Eybl, and M. Uher, “Kojic acid and its derivatives: History and present state of art,” </w:t>
      </w:r>
      <w:r w:rsidRPr="00791BBE">
        <w:rPr>
          <w:i/>
          <w:iCs/>
          <w:sz w:val="20"/>
          <w:szCs w:val="20"/>
        </w:rPr>
        <w:t>Cent. Eur. J. Public Health</w:t>
      </w:r>
      <w:r w:rsidRPr="00791BBE">
        <w:rPr>
          <w:sz w:val="20"/>
          <w:szCs w:val="20"/>
        </w:rPr>
        <w:t>, vol. 12, no. SUPPL., 2004, doi: 10.21101/cejph.b0102.</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A. Pavic, T. Ilic-Tomic, and J. Glamočlija, “Unravelling anti-melanogenic potency of edible mushrooms laetiporus sulphureus and agaricus silvaticus in vivo using the zebrafish model,” </w:t>
      </w:r>
      <w:r w:rsidRPr="00791BBE">
        <w:rPr>
          <w:i/>
          <w:iCs/>
          <w:sz w:val="20"/>
          <w:szCs w:val="20"/>
        </w:rPr>
        <w:t>J. Fungi</w:t>
      </w:r>
      <w:r w:rsidRPr="00791BBE">
        <w:rPr>
          <w:sz w:val="20"/>
          <w:szCs w:val="20"/>
        </w:rPr>
        <w:t>, vol. 7, no. 10, 2021, doi: 10.3390/jof7100834.</w:t>
      </w:r>
    </w:p>
    <w:p w:rsidR="00CF7429" w:rsidRPr="00791BBE" w:rsidRDefault="00CF7429" w:rsidP="00CF7429">
      <w:pPr>
        <w:widowControl w:val="0"/>
        <w:numPr>
          <w:ilvl w:val="0"/>
          <w:numId w:val="1"/>
        </w:numPr>
        <w:autoSpaceDE w:val="0"/>
        <w:autoSpaceDN w:val="0"/>
        <w:adjustRightInd w:val="0"/>
        <w:spacing w:line="240" w:lineRule="atLeast"/>
        <w:jc w:val="both"/>
        <w:rPr>
          <w:sz w:val="20"/>
          <w:szCs w:val="20"/>
        </w:rPr>
      </w:pPr>
      <w:r w:rsidRPr="00791BBE">
        <w:rPr>
          <w:sz w:val="20"/>
          <w:szCs w:val="20"/>
        </w:rPr>
        <w:t xml:space="preserve">A. K. Gupta, M. D. Gover, K. Nouri, and S. Taylor, “The treatment of melasma: A review of clinical trials,” </w:t>
      </w:r>
      <w:r w:rsidRPr="00791BBE">
        <w:rPr>
          <w:i/>
          <w:iCs/>
          <w:sz w:val="20"/>
          <w:szCs w:val="20"/>
        </w:rPr>
        <w:t>J. Am. Acad. Dermatol.</w:t>
      </w:r>
      <w:r w:rsidRPr="00791BBE">
        <w:rPr>
          <w:sz w:val="20"/>
          <w:szCs w:val="20"/>
        </w:rPr>
        <w:t>, vol. 55, no. 6, pp. 1048–1065, 2006, doi: 10.1016/j.jaad.2006.02.009.</w:t>
      </w:r>
    </w:p>
    <w:p w:rsidR="00CF7429" w:rsidRPr="00324429" w:rsidRDefault="00CF7429" w:rsidP="00CF7429">
      <w:pPr>
        <w:jc w:val="both"/>
        <w:rPr>
          <w:color w:val="000000"/>
        </w:rPr>
      </w:pPr>
      <w:r w:rsidRPr="00324429">
        <w:lastRenderedPageBreak/>
        <w:fldChar w:fldCharType="end"/>
      </w:r>
    </w:p>
    <w:p w:rsidR="00CF7429" w:rsidRPr="00324429" w:rsidRDefault="00CF7429" w:rsidP="00CF7429">
      <w:pPr>
        <w:rPr>
          <w:b/>
        </w:rPr>
      </w:pPr>
      <w:r w:rsidRPr="00324429">
        <w:rPr>
          <w:b/>
        </w:rPr>
        <w:t>Biography</w:t>
      </w:r>
    </w:p>
    <w:p w:rsidR="00CF7429" w:rsidRPr="00324429" w:rsidRDefault="00CF7429" w:rsidP="00CF7429">
      <w:pPr>
        <w:jc w:val="both"/>
        <w:rPr>
          <w:b/>
        </w:rPr>
      </w:pPr>
    </w:p>
    <w:p w:rsidR="00CF7429" w:rsidRPr="00791BBE" w:rsidRDefault="00CF7429" w:rsidP="00CF7429">
      <w:pPr>
        <w:jc w:val="both"/>
        <w:rPr>
          <w:sz w:val="20"/>
          <w:szCs w:val="20"/>
        </w:rPr>
      </w:pPr>
      <w:r w:rsidRPr="00791BBE">
        <w:rPr>
          <w:sz w:val="20"/>
          <w:szCs w:val="20"/>
        </w:rPr>
        <w:t xml:space="preserve">Vivey Phasha is a Technologist at the CSIR- Advanced Agriculture and Food Cluster. Her primary research focuses on the development, formulation, and safety testing of hair and skincare products. The Cluster focuses on adding value to biological resources and indigenous knowledge through scientific innovation thereby transforming these into products. </w:t>
      </w:r>
    </w:p>
    <w:p w:rsidR="00CF7429" w:rsidRPr="00791BBE" w:rsidRDefault="00CF7429" w:rsidP="00CF7429">
      <w:pPr>
        <w:jc w:val="both"/>
        <w:rPr>
          <w:sz w:val="20"/>
          <w:szCs w:val="20"/>
        </w:rPr>
      </w:pPr>
      <w:r w:rsidRPr="00791BBE">
        <w:rPr>
          <w:sz w:val="20"/>
          <w:szCs w:val="20"/>
        </w:rPr>
        <w:t>Vivey has over 8 years of experience in research from the time when she joined the CSIR as a Chemistry research intern in 2013. Part of her internship training involved plant material processing, extracting, and analyzing plant extracts to determine active compounds for various applications. She holds a  Master of Medical Science (Medical Biochemistry) degree from the University of Kwa-Zulu Natal. Her research focused on addressing skin pigmentation by using a fungal derivative in a dermatological formulation. As skin lighteners are in great demand in the cosmeceutical industry, many of them contain ingredients that can lead to permanent damage and scarring of the skin. Her research was driven by a need for the development of effective, well-tolerated, and safe active ingredients for dermatology studies.</w:t>
      </w:r>
    </w:p>
    <w:p w:rsidR="00CF7429" w:rsidRPr="00791BBE" w:rsidRDefault="00CF7429" w:rsidP="00CF7429">
      <w:pPr>
        <w:jc w:val="both"/>
        <w:rPr>
          <w:sz w:val="20"/>
          <w:szCs w:val="20"/>
        </w:rPr>
      </w:pPr>
      <w:r w:rsidRPr="00791BBE">
        <w:rPr>
          <w:sz w:val="20"/>
          <w:szCs w:val="20"/>
        </w:rPr>
        <w:t xml:space="preserve">In 2018 she completed a post-graduate diploma in cosmetic product formulation with distinction at North-West University. The composition of the qualification focused on various aspects of chemistry, pharmacy, skin anatomy, physiology, etc. to ensure the knowledge of designing and executing a new product development protocol.  She also holds an Honours degree in formulation science from Nelson Mandela University where she gained knowledge and understanding of blending and mixing various components (chemical molecules) in a way that they do not react but interact to provide a final product. She acquired various formulation skills for products such as personal care, household chemicals, pharmaceutical, food, and water treatment products. In 2015 she obtained a certificate in Total Quality Management at the University of South Africa. She is also involved in quality control, assurance, and total quality management activities to ensure that local and international regulatory requirements are met. In 2008, she obtained a Bachelor of Science degree in chemistry and statistics from the University of Johannesburg which led to an interest in chemistry research. </w:t>
      </w:r>
    </w:p>
    <w:p w:rsidR="00CF7429" w:rsidRPr="00791BBE" w:rsidRDefault="00CF7429" w:rsidP="00CF7429">
      <w:pPr>
        <w:jc w:val="both"/>
        <w:rPr>
          <w:sz w:val="20"/>
          <w:szCs w:val="20"/>
        </w:rPr>
      </w:pPr>
    </w:p>
    <w:p w:rsidR="00CF7429" w:rsidRPr="00791BBE" w:rsidRDefault="00CF7429" w:rsidP="00CF7429">
      <w:pPr>
        <w:jc w:val="both"/>
        <w:rPr>
          <w:sz w:val="20"/>
          <w:szCs w:val="20"/>
        </w:rPr>
      </w:pPr>
      <w:r w:rsidRPr="00791BBE">
        <w:rPr>
          <w:sz w:val="20"/>
          <w:szCs w:val="20"/>
        </w:rPr>
        <w:t>Vivey have been developing and improving products tailored to meet the needs of small, medium and micro enterprises (SMMEs) incubated at the CSIR. Her experience in scientific research of biological resources and indigenous knowledge has helped her build a track record of transforming raw materials into final products. She has been able to assit various enterpreneurs in the development of product concepts, translating these concepts into tangible products for market use.</w:t>
      </w:r>
    </w:p>
    <w:p w:rsidR="00916288" w:rsidRDefault="00CF7429"/>
    <w:sectPr w:rsidR="00916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53DCE"/>
    <w:multiLevelType w:val="hybridMultilevel"/>
    <w:tmpl w:val="713205F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429"/>
    <w:rsid w:val="008077D4"/>
    <w:rsid w:val="00CF7429"/>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42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F742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42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F742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5844</Characters>
  <Application>Microsoft Office Word</Application>
  <DocSecurity>0</DocSecurity>
  <Lines>48</Lines>
  <Paragraphs>13</Paragraphs>
  <ScaleCrop>false</ScaleCrop>
  <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2022-11-22T06:06:00Z</dcterms:created>
  <dcterms:modified xsi:type="dcterms:W3CDTF">2022-11-22T06:06:00Z</dcterms:modified>
</cp:coreProperties>
</file>