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8B0" w:rsidRPr="006378B0" w:rsidRDefault="006378B0" w:rsidP="006378B0">
      <w:pPr>
        <w:rPr>
          <w:rFonts w:eastAsia="MS PGothic"/>
          <w:b/>
          <w:color w:val="000000"/>
          <w:sz w:val="32"/>
          <w:szCs w:val="32"/>
          <w:lang w:val="en-GB"/>
        </w:rPr>
      </w:pPr>
      <w:r w:rsidRPr="006378B0">
        <w:rPr>
          <w:rFonts w:eastAsia="MS PGothic"/>
          <w:b/>
          <w:color w:val="000000"/>
          <w:sz w:val="32"/>
          <w:szCs w:val="32"/>
          <w:lang w:val="en-GB"/>
        </w:rPr>
        <w:t>Title: THE AMBIVALENT GREEN ROLE OF LACCASE: FROM THE PRODUCTION OF BIOINKS TO THE DESIGN OF DE-INKING SYSTEMS</w:t>
      </w:r>
    </w:p>
    <w:p w:rsidR="006378B0" w:rsidRPr="00384DFA" w:rsidRDefault="006378B0" w:rsidP="006378B0">
      <w:pPr>
        <w:rPr>
          <w:rFonts w:eastAsia="MS PGothic" w:hAnsi="Arial"/>
          <w:bCs/>
          <w:color w:val="000000"/>
        </w:rPr>
      </w:pPr>
      <w:r w:rsidRPr="00384DFA">
        <w:rPr>
          <w:rFonts w:eastAsia="MS PGothic" w:hAnsi="Arial"/>
          <w:color w:val="000000"/>
        </w:rPr>
        <w:br/>
      </w:r>
      <w:r w:rsidRPr="00384DFA">
        <w:rPr>
          <w:rFonts w:eastAsia="MS PGothic" w:hAnsi="Arial"/>
          <w:bCs/>
          <w:iCs/>
          <w:color w:val="000000"/>
        </w:rPr>
        <w:t>Eliana Capecchi</w:t>
      </w:r>
      <w:r>
        <w:rPr>
          <w:rFonts w:eastAsia="MS PGothic" w:hAnsi="Arial"/>
          <w:bCs/>
          <w:iCs/>
          <w:color w:val="000000"/>
        </w:rPr>
        <w:t>*</w:t>
      </w:r>
    </w:p>
    <w:p w:rsidR="006378B0" w:rsidRPr="00384DFA" w:rsidRDefault="006378B0" w:rsidP="006378B0">
      <w:pPr>
        <w:rPr>
          <w:rFonts w:eastAsia="MS PGothic" w:hAnsi="Arial"/>
          <w:color w:val="000000"/>
        </w:rPr>
      </w:pPr>
    </w:p>
    <w:p w:rsidR="006378B0" w:rsidRPr="006378B0" w:rsidRDefault="006378B0" w:rsidP="006378B0">
      <w:pPr>
        <w:rPr>
          <w:rFonts w:eastAsia="MS PGothic" w:hAnsi="Arial"/>
          <w:color w:val="000000"/>
          <w:sz w:val="22"/>
          <w:szCs w:val="22"/>
        </w:rPr>
      </w:pPr>
      <w:r w:rsidRPr="006378B0">
        <w:rPr>
          <w:rFonts w:eastAsia="MS PGothic" w:hAnsi="Arial"/>
          <w:color w:val="000000"/>
          <w:sz w:val="22"/>
          <w:szCs w:val="22"/>
        </w:rPr>
        <w:t>University of Tuscia, Italy</w:t>
      </w:r>
    </w:p>
    <w:p w:rsidR="006378B0" w:rsidRPr="006378B0" w:rsidRDefault="006378B0" w:rsidP="006378B0">
      <w:pPr>
        <w:jc w:val="center"/>
        <w:rPr>
          <w:rFonts w:eastAsia="Batang"/>
          <w:b/>
        </w:rPr>
      </w:pPr>
      <w:r w:rsidRPr="006378B0">
        <w:rPr>
          <w:rFonts w:eastAsia="Batang"/>
          <w:b/>
        </w:rPr>
        <w:t xml:space="preserve">Abstract </w:t>
      </w:r>
    </w:p>
    <w:p w:rsidR="006378B0" w:rsidRPr="006378B0" w:rsidRDefault="006378B0" w:rsidP="006378B0">
      <w:pPr>
        <w:ind w:firstLine="720"/>
        <w:jc w:val="both"/>
        <w:rPr>
          <w:color w:val="000000"/>
          <w:sz w:val="20"/>
          <w:szCs w:val="20"/>
          <w:lang w:val="en-GB"/>
        </w:rPr>
      </w:pP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catalyzes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the reduction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dioxygen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to water in synthetic and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degradative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processes. This ambivalent reactivity is relevant for the design of advanced biotechnology [1]. Considering this ambivalent role, here we describe the application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in the large-scale production of biodegradable tattoo bio-inks, as well as in the formulation of novel de-inking agents for the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decolorization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eumelanin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. The production of bio-inks involves the use of lignin nanoparticles [2] bearing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able to contemporary </w:t>
      </w:r>
      <w:proofErr w:type="gramStart"/>
      <w:r w:rsidRPr="006378B0">
        <w:rPr>
          <w:rFonts w:eastAsia="MS PGothic"/>
          <w:color w:val="000000"/>
          <w:sz w:val="20"/>
          <w:szCs w:val="20"/>
          <w:lang w:val="en-GB"/>
        </w:rPr>
        <w:t>perform</w:t>
      </w:r>
      <w:proofErr w:type="gram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as catalyst, vehicle, binder, and additive [3]. These novel platforms work for the “in situ” polymerization of pigments covering different shades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color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. Noteworthy, the pigment was stably linked to the surface of lignin nanoparticles and showed high resistance toward UV-visible irradiation and alkaline treatment [4]. Conversely, the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degradative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ability showed by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in association to redox mediators inspired us to prepare topical de-inking cream against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eumelanin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[5]. The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hyperproduction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eumelanin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leads to a panel of hyper-pigmented skin diseases including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melasma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and age spots. The treatment of these diseases often requires the use of inhibitors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tyrosinase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, which act as skin whitening agents in the inhibition of the synthesis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eumelanin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at metabolic level with harmful side effects. In this context, we describe the use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in association with cocktail of natural redox mediators (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Laccase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 cocktail mediator system, LCMS) for the efficient degradation of </w:t>
      </w:r>
      <w:proofErr w:type="spellStart"/>
      <w:r w:rsidRPr="006378B0">
        <w:rPr>
          <w:rFonts w:eastAsia="MS PGothic"/>
          <w:color w:val="000000"/>
          <w:sz w:val="20"/>
          <w:szCs w:val="20"/>
          <w:lang w:val="en-GB"/>
        </w:rPr>
        <w:t>eumelanin</w:t>
      </w:r>
      <w:proofErr w:type="spellEnd"/>
      <w:r w:rsidRPr="006378B0">
        <w:rPr>
          <w:rFonts w:eastAsia="MS PGothic"/>
          <w:color w:val="000000"/>
          <w:sz w:val="20"/>
          <w:szCs w:val="20"/>
          <w:lang w:val="en-GB"/>
        </w:rPr>
        <w:t xml:space="preserve">, offering an alternative treatment to systemic skin whitening agents. In addition, LCMS was effective in the degradation of previously described bio-inks. </w:t>
      </w:r>
      <w:r w:rsidRPr="006378B0">
        <w:rPr>
          <w:color w:val="000000"/>
          <w:sz w:val="20"/>
          <w:szCs w:val="20"/>
          <w:lang w:val="en-GB"/>
        </w:rPr>
        <w:t>(Up to 250 words)</w:t>
      </w:r>
    </w:p>
    <w:p w:rsidR="006378B0" w:rsidRPr="00384DFA" w:rsidRDefault="006378B0" w:rsidP="006378B0">
      <w:pPr>
        <w:jc w:val="both"/>
        <w:rPr>
          <w:color w:val="000000"/>
          <w:lang w:val="en-GB"/>
        </w:rPr>
      </w:pPr>
    </w:p>
    <w:p w:rsidR="006378B0" w:rsidRPr="006378B0" w:rsidRDefault="006378B0" w:rsidP="006378B0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br/>
      </w:r>
      <w:r w:rsidRPr="006378B0">
        <w:rPr>
          <w:b/>
          <w:lang w:val="en-NZ"/>
        </w:rPr>
        <w:t>References</w:t>
      </w:r>
    </w:p>
    <w:p w:rsidR="006378B0" w:rsidRPr="006378B0" w:rsidRDefault="006378B0" w:rsidP="006378B0">
      <w:pPr>
        <w:autoSpaceDE w:val="0"/>
        <w:autoSpaceDN w:val="0"/>
        <w:adjustRightInd w:val="0"/>
        <w:rPr>
          <w:sz w:val="20"/>
          <w:szCs w:val="20"/>
        </w:rPr>
      </w:pPr>
      <w:r w:rsidRPr="006378B0">
        <w:rPr>
          <w:sz w:val="20"/>
          <w:szCs w:val="20"/>
        </w:rPr>
        <w:t>[1] Capecchi</w:t>
      </w:r>
      <w:r>
        <w:rPr>
          <w:sz w:val="20"/>
          <w:szCs w:val="20"/>
        </w:rPr>
        <w:t xml:space="preserve"> E</w:t>
      </w:r>
      <w:r w:rsidRPr="006378B0">
        <w:rPr>
          <w:sz w:val="20"/>
          <w:szCs w:val="20"/>
        </w:rPr>
        <w:t>, Lorenzo Botta, Paolo Bollella, Riccarda Antiochia, Marcello Crucianelli and Raffaele Saladino, 2019, Catalysis Science &amp; Technology, 15, 4125-4134.</w:t>
      </w:r>
    </w:p>
    <w:p w:rsidR="006378B0" w:rsidRPr="006378B0" w:rsidRDefault="006378B0" w:rsidP="006378B0">
      <w:pPr>
        <w:autoSpaceDE w:val="0"/>
        <w:autoSpaceDN w:val="0"/>
        <w:adjustRightInd w:val="0"/>
        <w:rPr>
          <w:sz w:val="20"/>
          <w:szCs w:val="20"/>
        </w:rPr>
      </w:pPr>
      <w:r w:rsidRPr="006378B0">
        <w:rPr>
          <w:sz w:val="20"/>
          <w:szCs w:val="20"/>
        </w:rPr>
        <w:t>[2] Davide Piccinino, Eliana Capecchi, Lorenzo Botta, Bruno Mattia Bizzarri, Paolo Bollella, Riccarda Antiochia and Raffaele Saladino, 2018, Biomacromolecules, 9, 3883-3893.</w:t>
      </w:r>
    </w:p>
    <w:p w:rsidR="006378B0" w:rsidRPr="006378B0" w:rsidRDefault="006378B0" w:rsidP="006378B0">
      <w:pPr>
        <w:autoSpaceDE w:val="0"/>
        <w:autoSpaceDN w:val="0"/>
        <w:adjustRightInd w:val="0"/>
        <w:rPr>
          <w:sz w:val="20"/>
          <w:szCs w:val="20"/>
        </w:rPr>
      </w:pPr>
      <w:r w:rsidRPr="006378B0">
        <w:rPr>
          <w:sz w:val="20"/>
          <w:szCs w:val="20"/>
        </w:rPr>
        <w:t xml:space="preserve">[3] Eliana Capecchi, Davide Piccinino, Bruno Mattia Bizzarri, Daniele Avitabile, Claudia Pelosi, Claudia Colantonio, Giuseppe Calabrò and Raffaele Saladino, 2019, Biomacromolecules, 5, 1975–1988. </w:t>
      </w:r>
    </w:p>
    <w:p w:rsidR="006378B0" w:rsidRPr="006378B0" w:rsidRDefault="006378B0" w:rsidP="006378B0">
      <w:pPr>
        <w:autoSpaceDE w:val="0"/>
        <w:autoSpaceDN w:val="0"/>
        <w:adjustRightInd w:val="0"/>
        <w:rPr>
          <w:sz w:val="20"/>
          <w:szCs w:val="20"/>
        </w:rPr>
      </w:pPr>
      <w:r w:rsidRPr="006378B0">
        <w:rPr>
          <w:sz w:val="20"/>
          <w:szCs w:val="20"/>
        </w:rPr>
        <w:t>[4] Eliana Capecchi, Davide Piccinino, Stefano Poponi and Raffaele Saladino, 2018, patent n. IT102018000006058A.</w:t>
      </w:r>
    </w:p>
    <w:p w:rsidR="006378B0" w:rsidRPr="006378B0" w:rsidRDefault="006378B0" w:rsidP="006378B0">
      <w:pPr>
        <w:autoSpaceDE w:val="0"/>
        <w:autoSpaceDN w:val="0"/>
        <w:adjustRightInd w:val="0"/>
        <w:rPr>
          <w:sz w:val="20"/>
          <w:szCs w:val="20"/>
        </w:rPr>
      </w:pPr>
      <w:r w:rsidRPr="006378B0">
        <w:rPr>
          <w:sz w:val="20"/>
          <w:szCs w:val="20"/>
        </w:rPr>
        <w:t xml:space="preserve">[5] Valeria Gigli, Davide Piccinino, Daniele Avitabile, Riccarda Antiochia, Eliana Capecchi,* and Raffaele Saladino 2022, Int. J. Mol. Sci. 2022, 23, 6238. </w:t>
      </w:r>
    </w:p>
    <w:p w:rsidR="00916288" w:rsidRDefault="006378B0"/>
    <w:p w:rsidR="006378B0" w:rsidRPr="00384DFA" w:rsidRDefault="006378B0" w:rsidP="006378B0">
      <w:pPr>
        <w:rPr>
          <w:b/>
          <w:lang w:val="en-GB"/>
        </w:rPr>
      </w:pPr>
      <w:r w:rsidRPr="00384DFA">
        <w:rPr>
          <w:b/>
          <w:lang w:val="en-GB"/>
        </w:rPr>
        <w:t>Biography</w:t>
      </w:r>
    </w:p>
    <w:p w:rsidR="006378B0" w:rsidRPr="006378B0" w:rsidRDefault="006378B0" w:rsidP="006378B0">
      <w:pPr>
        <w:jc w:val="both"/>
        <w:rPr>
          <w:sz w:val="20"/>
          <w:szCs w:val="20"/>
          <w:lang w:val="en-GB"/>
        </w:rPr>
      </w:pPr>
      <w:r w:rsidRPr="006378B0">
        <w:rPr>
          <w:sz w:val="20"/>
          <w:szCs w:val="20"/>
          <w:lang w:val="en-GB"/>
        </w:rPr>
        <w:t xml:space="preserve">Eliana Capecchi is a </w:t>
      </w:r>
      <w:proofErr w:type="spellStart"/>
      <w:proofErr w:type="gramStart"/>
      <w:r w:rsidRPr="006378B0">
        <w:rPr>
          <w:sz w:val="20"/>
          <w:szCs w:val="20"/>
          <w:lang w:val="en-GB"/>
        </w:rPr>
        <w:t>phD</w:t>
      </w:r>
      <w:proofErr w:type="spellEnd"/>
      <w:proofErr w:type="gramEnd"/>
      <w:r w:rsidRPr="006378B0">
        <w:rPr>
          <w:sz w:val="20"/>
          <w:szCs w:val="20"/>
          <w:lang w:val="en-GB"/>
        </w:rPr>
        <w:t xml:space="preserve"> and post-DOC in biotechnology and </w:t>
      </w:r>
      <w:proofErr w:type="spellStart"/>
      <w:r w:rsidRPr="006378B0">
        <w:rPr>
          <w:sz w:val="20"/>
          <w:szCs w:val="20"/>
          <w:lang w:val="en-GB"/>
        </w:rPr>
        <w:t>bionanotechnology</w:t>
      </w:r>
      <w:proofErr w:type="spellEnd"/>
      <w:r w:rsidRPr="006378B0">
        <w:rPr>
          <w:sz w:val="20"/>
          <w:szCs w:val="20"/>
          <w:lang w:val="en-GB"/>
        </w:rPr>
        <w:t xml:space="preserve"> at the University of </w:t>
      </w:r>
      <w:proofErr w:type="spellStart"/>
      <w:r w:rsidRPr="006378B0">
        <w:rPr>
          <w:sz w:val="20"/>
          <w:szCs w:val="20"/>
          <w:lang w:val="en-GB"/>
        </w:rPr>
        <w:t>Tuscia</w:t>
      </w:r>
      <w:proofErr w:type="spellEnd"/>
      <w:r w:rsidRPr="006378B0">
        <w:rPr>
          <w:sz w:val="20"/>
          <w:szCs w:val="20"/>
          <w:lang w:val="en-GB"/>
        </w:rPr>
        <w:t xml:space="preserve">, </w:t>
      </w:r>
      <w:proofErr w:type="spellStart"/>
      <w:r w:rsidRPr="006378B0">
        <w:rPr>
          <w:sz w:val="20"/>
          <w:szCs w:val="20"/>
          <w:lang w:val="en-GB"/>
        </w:rPr>
        <w:t>Viterbo</w:t>
      </w:r>
      <w:proofErr w:type="spellEnd"/>
      <w:r w:rsidRPr="006378B0">
        <w:rPr>
          <w:sz w:val="20"/>
          <w:szCs w:val="20"/>
          <w:lang w:val="en-GB"/>
        </w:rPr>
        <w:t xml:space="preserve"> (Italy). Her areas of research are focused on the preparation and characterization of innovative heterogeneous bio-catalysts based on nanostructured and functional platforms of natural and renewable polyphenols, with particular attention to their application in organic synthesis, </w:t>
      </w:r>
      <w:proofErr w:type="spellStart"/>
      <w:r w:rsidRPr="006378B0">
        <w:rPr>
          <w:sz w:val="20"/>
          <w:szCs w:val="20"/>
          <w:lang w:val="en-GB"/>
        </w:rPr>
        <w:t>cosmeceutical</w:t>
      </w:r>
      <w:proofErr w:type="spellEnd"/>
      <w:r w:rsidRPr="006378B0">
        <w:rPr>
          <w:sz w:val="20"/>
          <w:szCs w:val="20"/>
          <w:lang w:val="en-GB"/>
        </w:rPr>
        <w:t xml:space="preserve"> field and advanced materials. He has published more than 13 papers in reputed journals. </w:t>
      </w:r>
    </w:p>
    <w:p w:rsidR="006378B0" w:rsidRPr="00427F55" w:rsidRDefault="006378B0" w:rsidP="006378B0">
      <w:pPr>
        <w:jc w:val="both"/>
        <w:rPr>
          <w:lang w:val="en-GB"/>
        </w:rPr>
      </w:pPr>
      <w:r w:rsidRPr="00384DFA">
        <w:rPr>
          <w:lang w:val="en-GB"/>
        </w:rPr>
        <w:br/>
      </w:r>
      <w:bookmarkStart w:id="0" w:name="_GoBack"/>
      <w:bookmarkEnd w:id="0"/>
    </w:p>
    <w:sectPr w:rsidR="006378B0" w:rsidRPr="00427F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8B0"/>
    <w:rsid w:val="006378B0"/>
    <w:rsid w:val="008077D4"/>
    <w:rsid w:val="00F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2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2022-11-22T04:57:00Z</dcterms:created>
  <dcterms:modified xsi:type="dcterms:W3CDTF">2022-11-22T05:04:00Z</dcterms:modified>
</cp:coreProperties>
</file>