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B78E5" w14:textId="719294BB" w:rsidR="004B7FC2" w:rsidRPr="004B7FC2" w:rsidRDefault="004B7FC2" w:rsidP="004B7FC2">
      <w:pPr>
        <w:pStyle w:val="Default"/>
        <w:rPr>
          <w:sz w:val="28"/>
          <w:szCs w:val="28"/>
        </w:rPr>
      </w:pPr>
      <w:r w:rsidRPr="004B7FC2">
        <w:rPr>
          <w:b/>
          <w:bCs/>
          <w:sz w:val="28"/>
          <w:szCs w:val="28"/>
        </w:rPr>
        <w:t>A conserved miRNA turnover mechanism regulates oncogenic potential of specific cancer types</w:t>
      </w:r>
    </w:p>
    <w:p w14:paraId="7CAB7F23" w14:textId="5D59674F" w:rsidR="00DE3504" w:rsidRPr="004B7FC2" w:rsidRDefault="004B7FC2" w:rsidP="004B7FC2">
      <w:pPr>
        <w:rPr>
          <w:rFonts w:ascii="Times New Roman" w:hAnsi="Times New Roman" w:cs="Times New Roman"/>
          <w:sz w:val="24"/>
          <w:szCs w:val="24"/>
        </w:rPr>
      </w:pPr>
      <w:r>
        <w:rPr>
          <w:rFonts w:ascii="Times New Roman" w:hAnsi="Times New Roman" w:cs="Times New Roman"/>
          <w:b/>
          <w:bCs/>
          <w:sz w:val="24"/>
          <w:szCs w:val="24"/>
        </w:rPr>
        <w:br/>
      </w:r>
      <w:r w:rsidRPr="004B7FC2">
        <w:rPr>
          <w:rFonts w:ascii="Times New Roman" w:hAnsi="Times New Roman" w:cs="Times New Roman"/>
          <w:b/>
          <w:bCs/>
          <w:sz w:val="24"/>
          <w:szCs w:val="24"/>
        </w:rPr>
        <w:t xml:space="preserve">Rohit </w:t>
      </w:r>
      <w:proofErr w:type="spellStart"/>
      <w:r w:rsidRPr="004B7FC2">
        <w:rPr>
          <w:rFonts w:ascii="Times New Roman" w:hAnsi="Times New Roman" w:cs="Times New Roman"/>
          <w:b/>
          <w:bCs/>
          <w:sz w:val="24"/>
          <w:szCs w:val="24"/>
        </w:rPr>
        <w:t>Nalawade</w:t>
      </w:r>
      <w:proofErr w:type="spellEnd"/>
      <w:r w:rsidRPr="004B7FC2">
        <w:rPr>
          <w:rFonts w:ascii="Times New Roman" w:hAnsi="Times New Roman" w:cs="Times New Roman"/>
          <w:sz w:val="24"/>
          <w:szCs w:val="24"/>
        </w:rPr>
        <w:t xml:space="preserve"> </w:t>
      </w:r>
      <w:r>
        <w:rPr>
          <w:rFonts w:ascii="Times New Roman" w:hAnsi="Times New Roman" w:cs="Times New Roman"/>
          <w:sz w:val="24"/>
          <w:szCs w:val="24"/>
        </w:rPr>
        <w:br/>
      </w:r>
      <w:r w:rsidRPr="004B7FC2">
        <w:rPr>
          <w:rFonts w:ascii="Times New Roman" w:hAnsi="Times New Roman" w:cs="Times New Roman"/>
          <w:sz w:val="24"/>
          <w:szCs w:val="24"/>
        </w:rPr>
        <w:t>Department of Microbiology and Cell biology, Indian Institute of Science, India</w:t>
      </w:r>
    </w:p>
    <w:p w14:paraId="2A384485" w14:textId="49DD1DC9" w:rsidR="004B7FC2" w:rsidRPr="004B7FC2" w:rsidRDefault="004B7FC2" w:rsidP="004B7FC2">
      <w:pPr>
        <w:jc w:val="center"/>
        <w:rPr>
          <w:rFonts w:ascii="Times New Roman" w:hAnsi="Times New Roman" w:cs="Times New Roman"/>
          <w:b/>
          <w:bCs/>
          <w:sz w:val="24"/>
          <w:szCs w:val="24"/>
        </w:rPr>
      </w:pPr>
      <w:r>
        <w:rPr>
          <w:rFonts w:ascii="Times New Roman" w:hAnsi="Times New Roman" w:cs="Times New Roman"/>
          <w:b/>
          <w:bCs/>
          <w:sz w:val="24"/>
          <w:szCs w:val="24"/>
        </w:rPr>
        <w:br/>
      </w:r>
      <w:r w:rsidRPr="004B7FC2">
        <w:rPr>
          <w:rFonts w:ascii="Times New Roman" w:hAnsi="Times New Roman" w:cs="Times New Roman"/>
          <w:b/>
          <w:bCs/>
          <w:sz w:val="24"/>
          <w:szCs w:val="24"/>
        </w:rPr>
        <w:t>Abstract</w:t>
      </w:r>
    </w:p>
    <w:p w14:paraId="4AAC77FB" w14:textId="63195118" w:rsidR="004B7FC2" w:rsidRPr="004B7FC2" w:rsidRDefault="004B7FC2" w:rsidP="004B7FC2">
      <w:pPr>
        <w:jc w:val="both"/>
        <w:rPr>
          <w:rFonts w:ascii="Times New Roman" w:hAnsi="Times New Roman" w:cs="Times New Roman"/>
          <w:sz w:val="24"/>
          <w:szCs w:val="24"/>
        </w:rPr>
      </w:pPr>
      <w:r w:rsidRPr="004B7FC2">
        <w:rPr>
          <w:rFonts w:ascii="Times New Roman" w:hAnsi="Times New Roman" w:cs="Times New Roman"/>
          <w:sz w:val="24"/>
          <w:szCs w:val="24"/>
        </w:rPr>
        <w:t xml:space="preserve">MicroRNAs are small non-coding RNAs that are extensively involved in regulating the diverse developmental and physiological processes. Biogenesis of mature miRNAs and their regulation have been comprehensively studied. However, molecular pathways leading to the decay of these small RNAs remain unexplored. We demonstrate that ribonuclease XRN2 is directly involved in the turnover of mature miRNAs in multiple human cancer cells. Depletion of XRN2 leads to the accumulation of AGO-bound </w:t>
      </w:r>
      <w:proofErr w:type="spellStart"/>
      <w:r w:rsidRPr="004B7FC2">
        <w:rPr>
          <w:rFonts w:ascii="Times New Roman" w:hAnsi="Times New Roman" w:cs="Times New Roman"/>
          <w:sz w:val="24"/>
          <w:szCs w:val="24"/>
        </w:rPr>
        <w:t>tumor</w:t>
      </w:r>
      <w:proofErr w:type="spellEnd"/>
      <w:r w:rsidRPr="004B7FC2">
        <w:rPr>
          <w:rFonts w:ascii="Times New Roman" w:hAnsi="Times New Roman" w:cs="Times New Roman"/>
          <w:sz w:val="24"/>
          <w:szCs w:val="24"/>
        </w:rPr>
        <w:t xml:space="preserve"> suppressor miRNAs that in turn downregulates their cognate targets, indicating that XRN2-mediated turnover of mature miRNAs occurs downstream of the process of disruption of AGO2-miRNA complex. Substantial increase in the levels of </w:t>
      </w:r>
      <w:proofErr w:type="spellStart"/>
      <w:r w:rsidRPr="004B7FC2">
        <w:rPr>
          <w:rFonts w:ascii="Times New Roman" w:hAnsi="Times New Roman" w:cs="Times New Roman"/>
          <w:sz w:val="24"/>
          <w:szCs w:val="24"/>
        </w:rPr>
        <w:t>tumor</w:t>
      </w:r>
      <w:proofErr w:type="spellEnd"/>
      <w:r w:rsidRPr="004B7FC2">
        <w:rPr>
          <w:rFonts w:ascii="Times New Roman" w:hAnsi="Times New Roman" w:cs="Times New Roman"/>
          <w:sz w:val="24"/>
          <w:szCs w:val="24"/>
        </w:rPr>
        <w:t xml:space="preserve"> suppressor miRNAs upon XRN2 knockdown, is endorsed by a prominent impact on the tumorigenicity of the cancer cells. Our biochemical assays indicate that XRN2-mediated degradation of mature miRNAs happens upon release of miRNAs from AGO by an unknown protein/s, and these two steps are kinetically linked. Our results suggest that the release of miRNAs from the grasp AGO and its subsequent degradation by XRN2 occurs majorly in the nuclear compartment of cell. Inside the nucleus, XRN2 associates with a nucleolar protein, NOP58, which functions as an RNA binding factor, thereby ensuring XRN2’s nuclease activity to act specifically on miRNAs. We also demonstrate that our cell line-based observations significantly correlate with the clinical data of cancer patients from TCGA datasets. These analyses also explain previous observations of elevated XRN2 mRNA expression being associated with worse survival in cancer patients. Collectively, our study reveals that human miRNAs are regulated by a two-step turnover pathway,</w:t>
      </w:r>
      <w:r w:rsidRPr="004B7FC2">
        <w:rPr>
          <w:rFonts w:ascii="Times New Roman" w:hAnsi="Times New Roman" w:cs="Times New Roman"/>
          <w:sz w:val="24"/>
          <w:szCs w:val="24"/>
        </w:rPr>
        <w:t xml:space="preserve"> </w:t>
      </w:r>
      <w:r w:rsidRPr="004B7FC2">
        <w:rPr>
          <w:rFonts w:ascii="Times New Roman" w:hAnsi="Times New Roman" w:cs="Times New Roman"/>
          <w:sz w:val="24"/>
          <w:szCs w:val="24"/>
        </w:rPr>
        <w:t>wherein, XRN2 plays the role of a ‘</w:t>
      </w:r>
      <w:proofErr w:type="spellStart"/>
      <w:r w:rsidRPr="004B7FC2">
        <w:rPr>
          <w:rFonts w:ascii="Times New Roman" w:hAnsi="Times New Roman" w:cs="Times New Roman"/>
          <w:sz w:val="24"/>
          <w:szCs w:val="24"/>
        </w:rPr>
        <w:t>miRNase</w:t>
      </w:r>
      <w:proofErr w:type="spellEnd"/>
      <w:r w:rsidRPr="004B7FC2">
        <w:rPr>
          <w:rFonts w:ascii="Times New Roman" w:hAnsi="Times New Roman" w:cs="Times New Roman"/>
          <w:sz w:val="24"/>
          <w:szCs w:val="24"/>
        </w:rPr>
        <w:t>’ in various tissues.</w:t>
      </w:r>
    </w:p>
    <w:p w14:paraId="0FC705E9" w14:textId="77777777" w:rsidR="004B7FC2" w:rsidRPr="004B7FC2" w:rsidRDefault="004B7FC2" w:rsidP="004B7FC2">
      <w:pPr>
        <w:autoSpaceDE w:val="0"/>
        <w:autoSpaceDN w:val="0"/>
        <w:adjustRightInd w:val="0"/>
        <w:spacing w:after="0" w:line="240" w:lineRule="auto"/>
        <w:rPr>
          <w:rFonts w:ascii="Times New Roman" w:hAnsi="Times New Roman" w:cs="Times New Roman"/>
          <w:color w:val="000000"/>
          <w:sz w:val="24"/>
          <w:szCs w:val="24"/>
        </w:rPr>
      </w:pPr>
    </w:p>
    <w:p w14:paraId="613A7F01" w14:textId="51E2F170" w:rsidR="004B7FC2" w:rsidRDefault="004B7FC2" w:rsidP="004B7FC2">
      <w:pPr>
        <w:autoSpaceDE w:val="0"/>
        <w:autoSpaceDN w:val="0"/>
        <w:adjustRightInd w:val="0"/>
        <w:spacing w:after="0" w:line="240" w:lineRule="auto"/>
        <w:rPr>
          <w:rFonts w:ascii="Times New Roman" w:hAnsi="Times New Roman" w:cs="Times New Roman"/>
          <w:b/>
          <w:bCs/>
          <w:color w:val="000000"/>
          <w:sz w:val="24"/>
          <w:szCs w:val="24"/>
        </w:rPr>
      </w:pPr>
      <w:r w:rsidRPr="004B7FC2">
        <w:rPr>
          <w:rFonts w:ascii="Times New Roman" w:hAnsi="Times New Roman" w:cs="Times New Roman"/>
          <w:b/>
          <w:bCs/>
          <w:color w:val="000000"/>
          <w:sz w:val="24"/>
          <w:szCs w:val="24"/>
        </w:rPr>
        <w:t xml:space="preserve">Recent Publications </w:t>
      </w:r>
    </w:p>
    <w:p w14:paraId="0A5529B0" w14:textId="77777777" w:rsidR="004B7FC2" w:rsidRPr="004B7FC2" w:rsidRDefault="004B7FC2" w:rsidP="004B7FC2">
      <w:pPr>
        <w:autoSpaceDE w:val="0"/>
        <w:autoSpaceDN w:val="0"/>
        <w:adjustRightInd w:val="0"/>
        <w:spacing w:after="0" w:line="240" w:lineRule="auto"/>
        <w:rPr>
          <w:rFonts w:ascii="Times New Roman" w:hAnsi="Times New Roman" w:cs="Times New Roman"/>
          <w:b/>
          <w:bCs/>
          <w:color w:val="000000"/>
          <w:sz w:val="24"/>
          <w:szCs w:val="24"/>
        </w:rPr>
      </w:pPr>
    </w:p>
    <w:p w14:paraId="1C272E85" w14:textId="6413D4A0" w:rsidR="004B7FC2" w:rsidRPr="004B7FC2" w:rsidRDefault="004B7FC2" w:rsidP="004B7FC2">
      <w:pPr>
        <w:pStyle w:val="ListParagraph"/>
        <w:numPr>
          <w:ilvl w:val="0"/>
          <w:numId w:val="1"/>
        </w:numPr>
        <w:autoSpaceDE w:val="0"/>
        <w:autoSpaceDN w:val="0"/>
        <w:adjustRightInd w:val="0"/>
        <w:spacing w:after="97" w:line="240" w:lineRule="auto"/>
        <w:jc w:val="both"/>
        <w:rPr>
          <w:rFonts w:ascii="Times New Roman" w:hAnsi="Times New Roman" w:cs="Times New Roman"/>
          <w:color w:val="000000"/>
          <w:sz w:val="24"/>
          <w:szCs w:val="24"/>
        </w:rPr>
      </w:pPr>
      <w:r w:rsidRPr="004B7FC2">
        <w:rPr>
          <w:rFonts w:ascii="Times New Roman" w:hAnsi="Times New Roman" w:cs="Times New Roman"/>
          <w:color w:val="000000"/>
          <w:sz w:val="24"/>
          <w:szCs w:val="24"/>
        </w:rPr>
        <w:t xml:space="preserve">Rohit </w:t>
      </w:r>
      <w:proofErr w:type="spellStart"/>
      <w:r w:rsidRPr="004B7FC2">
        <w:rPr>
          <w:rFonts w:ascii="Times New Roman" w:hAnsi="Times New Roman" w:cs="Times New Roman"/>
          <w:color w:val="000000"/>
          <w:sz w:val="24"/>
          <w:szCs w:val="24"/>
        </w:rPr>
        <w:t>Nalawade</w:t>
      </w:r>
      <w:proofErr w:type="spellEnd"/>
      <w:r w:rsidRPr="004B7FC2">
        <w:rPr>
          <w:rFonts w:ascii="Times New Roman" w:hAnsi="Times New Roman" w:cs="Times New Roman"/>
          <w:color w:val="000000"/>
          <w:sz w:val="24"/>
          <w:szCs w:val="24"/>
        </w:rPr>
        <w:t xml:space="preserve">, </w:t>
      </w:r>
      <w:proofErr w:type="spellStart"/>
      <w:r w:rsidRPr="004B7FC2">
        <w:rPr>
          <w:rFonts w:ascii="Times New Roman" w:hAnsi="Times New Roman" w:cs="Times New Roman"/>
          <w:color w:val="000000"/>
          <w:sz w:val="24"/>
          <w:szCs w:val="24"/>
        </w:rPr>
        <w:t>Tamoghna</w:t>
      </w:r>
      <w:proofErr w:type="spellEnd"/>
      <w:r w:rsidRPr="004B7FC2">
        <w:rPr>
          <w:rFonts w:ascii="Times New Roman" w:hAnsi="Times New Roman" w:cs="Times New Roman"/>
          <w:color w:val="000000"/>
          <w:sz w:val="24"/>
          <w:szCs w:val="24"/>
        </w:rPr>
        <w:t xml:space="preserve"> Chowdhury, </w:t>
      </w:r>
      <w:proofErr w:type="spellStart"/>
      <w:r w:rsidRPr="004B7FC2">
        <w:rPr>
          <w:rFonts w:ascii="Times New Roman" w:hAnsi="Times New Roman" w:cs="Times New Roman"/>
          <w:color w:val="000000"/>
          <w:sz w:val="24"/>
          <w:szCs w:val="24"/>
        </w:rPr>
        <w:t>Saibal</w:t>
      </w:r>
      <w:proofErr w:type="spellEnd"/>
      <w:r w:rsidRPr="004B7FC2">
        <w:rPr>
          <w:rFonts w:ascii="Times New Roman" w:hAnsi="Times New Roman" w:cs="Times New Roman"/>
          <w:color w:val="000000"/>
          <w:sz w:val="24"/>
          <w:szCs w:val="24"/>
        </w:rPr>
        <w:t xml:space="preserve"> Chatterjee (2022) XRN2-mediated regulation of </w:t>
      </w:r>
      <w:proofErr w:type="spellStart"/>
      <w:r w:rsidRPr="004B7FC2">
        <w:rPr>
          <w:rFonts w:ascii="Times New Roman" w:hAnsi="Times New Roman" w:cs="Times New Roman"/>
          <w:color w:val="000000"/>
          <w:sz w:val="24"/>
          <w:szCs w:val="24"/>
        </w:rPr>
        <w:t>tumor</w:t>
      </w:r>
      <w:proofErr w:type="spellEnd"/>
      <w:r w:rsidRPr="004B7FC2">
        <w:rPr>
          <w:rFonts w:ascii="Times New Roman" w:hAnsi="Times New Roman" w:cs="Times New Roman"/>
          <w:color w:val="000000"/>
          <w:sz w:val="24"/>
          <w:szCs w:val="24"/>
        </w:rPr>
        <w:t xml:space="preserve"> suppressor microRNAs is of critical pathophysiological significance in Humans. </w:t>
      </w:r>
      <w:proofErr w:type="spellStart"/>
      <w:r w:rsidRPr="004B7FC2">
        <w:rPr>
          <w:rFonts w:ascii="Times New Roman" w:hAnsi="Times New Roman" w:cs="Times New Roman"/>
          <w:i/>
          <w:iCs/>
          <w:color w:val="000000"/>
          <w:sz w:val="24"/>
          <w:szCs w:val="24"/>
        </w:rPr>
        <w:t>Biorvix</w:t>
      </w:r>
      <w:proofErr w:type="spellEnd"/>
      <w:r w:rsidRPr="004B7FC2">
        <w:rPr>
          <w:rFonts w:ascii="Times New Roman" w:hAnsi="Times New Roman" w:cs="Times New Roman"/>
          <w:i/>
          <w:iCs/>
          <w:color w:val="000000"/>
          <w:sz w:val="24"/>
          <w:szCs w:val="24"/>
        </w:rPr>
        <w:t xml:space="preserve">. </w:t>
      </w:r>
    </w:p>
    <w:p w14:paraId="26306009" w14:textId="002CE9CE" w:rsidR="004B7FC2" w:rsidRPr="004B7FC2" w:rsidRDefault="004B7FC2" w:rsidP="004B7FC2">
      <w:pPr>
        <w:pStyle w:val="ListParagraph"/>
        <w:numPr>
          <w:ilvl w:val="0"/>
          <w:numId w:val="1"/>
        </w:numPr>
        <w:autoSpaceDE w:val="0"/>
        <w:autoSpaceDN w:val="0"/>
        <w:adjustRightInd w:val="0"/>
        <w:spacing w:after="97" w:line="240" w:lineRule="auto"/>
        <w:jc w:val="both"/>
        <w:rPr>
          <w:rFonts w:ascii="Times New Roman" w:hAnsi="Times New Roman" w:cs="Times New Roman"/>
          <w:color w:val="000000"/>
          <w:sz w:val="24"/>
          <w:szCs w:val="24"/>
        </w:rPr>
      </w:pPr>
      <w:r w:rsidRPr="004B7FC2">
        <w:rPr>
          <w:rFonts w:ascii="Times New Roman" w:hAnsi="Times New Roman" w:cs="Times New Roman"/>
          <w:color w:val="000000"/>
          <w:sz w:val="24"/>
          <w:szCs w:val="24"/>
        </w:rPr>
        <w:t xml:space="preserve">Rohit </w:t>
      </w:r>
      <w:proofErr w:type="spellStart"/>
      <w:r w:rsidRPr="004B7FC2">
        <w:rPr>
          <w:rFonts w:ascii="Times New Roman" w:hAnsi="Times New Roman" w:cs="Times New Roman"/>
          <w:color w:val="000000"/>
          <w:sz w:val="24"/>
          <w:szCs w:val="24"/>
        </w:rPr>
        <w:t>Nalawade</w:t>
      </w:r>
      <w:proofErr w:type="spellEnd"/>
      <w:r w:rsidRPr="004B7FC2">
        <w:rPr>
          <w:rFonts w:ascii="Times New Roman" w:hAnsi="Times New Roman" w:cs="Times New Roman"/>
          <w:color w:val="000000"/>
          <w:sz w:val="24"/>
          <w:szCs w:val="24"/>
        </w:rPr>
        <w:t xml:space="preserve">, Mohini Singh (2022). Intracellular compartmentalization: A key determinant of microRNA function. (Communicated in </w:t>
      </w:r>
      <w:r w:rsidRPr="004B7FC2">
        <w:rPr>
          <w:rFonts w:ascii="Times New Roman" w:hAnsi="Times New Roman" w:cs="Times New Roman"/>
          <w:i/>
          <w:iCs/>
          <w:color w:val="000000"/>
          <w:sz w:val="24"/>
          <w:szCs w:val="24"/>
        </w:rPr>
        <w:t>MicroRNA</w:t>
      </w:r>
      <w:r w:rsidRPr="004B7FC2">
        <w:rPr>
          <w:rFonts w:ascii="Times New Roman" w:hAnsi="Times New Roman" w:cs="Times New Roman"/>
          <w:color w:val="000000"/>
          <w:sz w:val="24"/>
          <w:szCs w:val="24"/>
        </w:rPr>
        <w:t xml:space="preserve">) </w:t>
      </w:r>
    </w:p>
    <w:p w14:paraId="28E10A32" w14:textId="56124566" w:rsidR="004B7FC2" w:rsidRPr="004B7FC2" w:rsidRDefault="004B7FC2" w:rsidP="004B7FC2">
      <w:pPr>
        <w:pStyle w:val="ListParagraph"/>
        <w:numPr>
          <w:ilvl w:val="0"/>
          <w:numId w:val="1"/>
        </w:numPr>
        <w:autoSpaceDE w:val="0"/>
        <w:autoSpaceDN w:val="0"/>
        <w:adjustRightInd w:val="0"/>
        <w:spacing w:after="97" w:line="240" w:lineRule="auto"/>
        <w:jc w:val="both"/>
        <w:rPr>
          <w:rFonts w:ascii="Times New Roman" w:hAnsi="Times New Roman" w:cs="Times New Roman"/>
          <w:color w:val="000000"/>
          <w:sz w:val="24"/>
          <w:szCs w:val="24"/>
        </w:rPr>
      </w:pPr>
      <w:r w:rsidRPr="004B7FC2">
        <w:rPr>
          <w:rFonts w:ascii="Times New Roman" w:hAnsi="Times New Roman" w:cs="Times New Roman"/>
          <w:color w:val="000000"/>
          <w:sz w:val="24"/>
          <w:szCs w:val="24"/>
        </w:rPr>
        <w:t xml:space="preserve">Wyman, S. K. et al. (2011) </w:t>
      </w:r>
      <w:proofErr w:type="gramStart"/>
      <w:r w:rsidRPr="004B7FC2">
        <w:rPr>
          <w:rFonts w:ascii="Times New Roman" w:hAnsi="Times New Roman" w:cs="Times New Roman"/>
          <w:color w:val="000000"/>
          <w:sz w:val="24"/>
          <w:szCs w:val="24"/>
        </w:rPr>
        <w:t>Post-transcriptional</w:t>
      </w:r>
      <w:proofErr w:type="gramEnd"/>
      <w:r w:rsidRPr="004B7FC2">
        <w:rPr>
          <w:rFonts w:ascii="Times New Roman" w:hAnsi="Times New Roman" w:cs="Times New Roman"/>
          <w:color w:val="000000"/>
          <w:sz w:val="24"/>
          <w:szCs w:val="24"/>
        </w:rPr>
        <w:t xml:space="preserve"> generation of miRNA variants by multiple </w:t>
      </w:r>
      <w:proofErr w:type="spellStart"/>
      <w:r w:rsidRPr="004B7FC2">
        <w:rPr>
          <w:rFonts w:ascii="Times New Roman" w:hAnsi="Times New Roman" w:cs="Times New Roman"/>
          <w:color w:val="000000"/>
          <w:sz w:val="24"/>
          <w:szCs w:val="24"/>
        </w:rPr>
        <w:t>nucleotidyl</w:t>
      </w:r>
      <w:proofErr w:type="spellEnd"/>
      <w:r w:rsidRPr="004B7FC2">
        <w:rPr>
          <w:rFonts w:ascii="Times New Roman" w:hAnsi="Times New Roman" w:cs="Times New Roman"/>
          <w:color w:val="000000"/>
          <w:sz w:val="24"/>
          <w:szCs w:val="24"/>
        </w:rPr>
        <w:t xml:space="preserve"> transferases contributes to miRNA transcriptome complexity. Genome Research 21, 1450–1461. </w:t>
      </w:r>
    </w:p>
    <w:p w14:paraId="5C50DA3B" w14:textId="15FD316D" w:rsidR="004B7FC2" w:rsidRPr="004B7FC2" w:rsidRDefault="004B7FC2" w:rsidP="004B7FC2">
      <w:pPr>
        <w:pStyle w:val="ListParagraph"/>
        <w:numPr>
          <w:ilvl w:val="0"/>
          <w:numId w:val="1"/>
        </w:numPr>
        <w:autoSpaceDE w:val="0"/>
        <w:autoSpaceDN w:val="0"/>
        <w:adjustRightInd w:val="0"/>
        <w:spacing w:after="97" w:line="240" w:lineRule="auto"/>
        <w:jc w:val="both"/>
        <w:rPr>
          <w:rFonts w:ascii="Times New Roman" w:hAnsi="Times New Roman" w:cs="Times New Roman"/>
          <w:color w:val="000000"/>
          <w:sz w:val="24"/>
          <w:szCs w:val="24"/>
        </w:rPr>
      </w:pPr>
      <w:r w:rsidRPr="004B7FC2">
        <w:rPr>
          <w:rFonts w:ascii="Times New Roman" w:hAnsi="Times New Roman" w:cs="Times New Roman"/>
          <w:color w:val="000000"/>
          <w:sz w:val="24"/>
          <w:szCs w:val="24"/>
        </w:rPr>
        <w:t xml:space="preserve">Yang, A. et al. (2020) AGO-bound mature miRNAs are </w:t>
      </w:r>
      <w:proofErr w:type="spellStart"/>
      <w:r w:rsidRPr="004B7FC2">
        <w:rPr>
          <w:rFonts w:ascii="Times New Roman" w:hAnsi="Times New Roman" w:cs="Times New Roman"/>
          <w:color w:val="000000"/>
          <w:sz w:val="24"/>
          <w:szCs w:val="24"/>
        </w:rPr>
        <w:t>oligouridylated</w:t>
      </w:r>
      <w:proofErr w:type="spellEnd"/>
      <w:r w:rsidRPr="004B7FC2">
        <w:rPr>
          <w:rFonts w:ascii="Times New Roman" w:hAnsi="Times New Roman" w:cs="Times New Roman"/>
          <w:color w:val="000000"/>
          <w:sz w:val="24"/>
          <w:szCs w:val="24"/>
        </w:rPr>
        <w:t xml:space="preserve"> by TUTs and subsequently degraded by DIS3L2. Nature Communications 11, 2765. </w:t>
      </w:r>
    </w:p>
    <w:p w14:paraId="24D100DF" w14:textId="2D5DDC85" w:rsidR="004B7FC2" w:rsidRPr="004B7FC2" w:rsidRDefault="004B7FC2" w:rsidP="004B7FC2">
      <w:pPr>
        <w:pStyle w:val="ListParagraph"/>
        <w:numPr>
          <w:ilvl w:val="0"/>
          <w:numId w:val="1"/>
        </w:numPr>
        <w:autoSpaceDE w:val="0"/>
        <w:autoSpaceDN w:val="0"/>
        <w:adjustRightInd w:val="0"/>
        <w:spacing w:after="0" w:line="240" w:lineRule="auto"/>
        <w:jc w:val="both"/>
        <w:rPr>
          <w:rFonts w:ascii="Times New Roman" w:hAnsi="Times New Roman" w:cs="Times New Roman"/>
          <w:color w:val="000000"/>
          <w:sz w:val="24"/>
          <w:szCs w:val="24"/>
        </w:rPr>
      </w:pPr>
      <w:r w:rsidRPr="004B7FC2">
        <w:rPr>
          <w:rFonts w:ascii="Times New Roman" w:hAnsi="Times New Roman" w:cs="Times New Roman"/>
          <w:color w:val="000000"/>
          <w:sz w:val="24"/>
          <w:szCs w:val="24"/>
        </w:rPr>
        <w:t xml:space="preserve">Shi, C. Y. et al. (2020) The ZSWIM8 ubiquitin ligase mediates target-directed microRNA degradation. </w:t>
      </w:r>
      <w:r w:rsidRPr="004B7FC2">
        <w:rPr>
          <w:rFonts w:ascii="Times New Roman" w:hAnsi="Times New Roman" w:cs="Times New Roman"/>
          <w:i/>
          <w:iCs/>
          <w:color w:val="000000"/>
          <w:sz w:val="24"/>
          <w:szCs w:val="24"/>
        </w:rPr>
        <w:t xml:space="preserve">Science </w:t>
      </w:r>
      <w:r w:rsidRPr="004B7FC2">
        <w:rPr>
          <w:rFonts w:ascii="Times New Roman" w:hAnsi="Times New Roman" w:cs="Times New Roman"/>
          <w:color w:val="000000"/>
          <w:sz w:val="24"/>
          <w:szCs w:val="24"/>
        </w:rPr>
        <w:t xml:space="preserve">370, eabc9359. </w:t>
      </w:r>
    </w:p>
    <w:p w14:paraId="7C2D7129" w14:textId="5D48EE2B" w:rsidR="004B7FC2" w:rsidRPr="004B7FC2" w:rsidRDefault="004B7FC2" w:rsidP="004B7FC2">
      <w:pPr>
        <w:rPr>
          <w:rFonts w:ascii="Times New Roman" w:hAnsi="Times New Roman" w:cs="Times New Roman"/>
          <w:sz w:val="24"/>
          <w:szCs w:val="24"/>
        </w:rPr>
      </w:pPr>
      <w:r w:rsidRPr="004B7FC2">
        <w:rPr>
          <w:rFonts w:ascii="Times New Roman" w:hAnsi="Times New Roman" w:cs="Times New Roman"/>
          <w:sz w:val="24"/>
          <w:szCs w:val="24"/>
        </w:rPr>
        <w:t xml:space="preserve"> </w:t>
      </w:r>
    </w:p>
    <w:p w14:paraId="0908DAB0" w14:textId="77777777" w:rsidR="004B7FC2" w:rsidRPr="004B7FC2" w:rsidRDefault="004B7FC2" w:rsidP="004B7FC2">
      <w:pPr>
        <w:rPr>
          <w:rFonts w:ascii="Times New Roman" w:hAnsi="Times New Roman" w:cs="Times New Roman"/>
          <w:b/>
          <w:bCs/>
          <w:sz w:val="24"/>
          <w:szCs w:val="24"/>
        </w:rPr>
      </w:pPr>
      <w:r w:rsidRPr="004B7FC2">
        <w:rPr>
          <w:rFonts w:ascii="Times New Roman" w:hAnsi="Times New Roman" w:cs="Times New Roman"/>
          <w:b/>
          <w:bCs/>
          <w:sz w:val="24"/>
          <w:szCs w:val="24"/>
        </w:rPr>
        <w:t>Biography</w:t>
      </w:r>
    </w:p>
    <w:p w14:paraId="51E5C967" w14:textId="67129FA9" w:rsidR="004B7FC2" w:rsidRPr="004B7FC2" w:rsidRDefault="004B7FC2" w:rsidP="004B7FC2">
      <w:pPr>
        <w:jc w:val="both"/>
        <w:rPr>
          <w:rFonts w:ascii="Times New Roman" w:hAnsi="Times New Roman" w:cs="Times New Roman"/>
          <w:sz w:val="24"/>
          <w:szCs w:val="24"/>
        </w:rPr>
      </w:pPr>
      <w:r w:rsidRPr="004B7FC2">
        <w:rPr>
          <w:rFonts w:ascii="Times New Roman" w:hAnsi="Times New Roman" w:cs="Times New Roman"/>
          <w:sz w:val="24"/>
          <w:szCs w:val="24"/>
        </w:rPr>
        <w:lastRenderedPageBreak/>
        <w:t>Rohit</w:t>
      </w:r>
      <w:r>
        <w:rPr>
          <w:rFonts w:ascii="Times New Roman" w:hAnsi="Times New Roman" w:cs="Times New Roman"/>
          <w:sz w:val="24"/>
          <w:szCs w:val="24"/>
        </w:rPr>
        <w:t xml:space="preserve"> </w:t>
      </w:r>
      <w:proofErr w:type="spellStart"/>
      <w:r w:rsidRPr="004B7FC2">
        <w:rPr>
          <w:rFonts w:ascii="Times New Roman" w:hAnsi="Times New Roman" w:cs="Times New Roman"/>
          <w:sz w:val="24"/>
          <w:szCs w:val="24"/>
        </w:rPr>
        <w:t>Nalawade</w:t>
      </w:r>
      <w:proofErr w:type="spellEnd"/>
      <w:r>
        <w:rPr>
          <w:rFonts w:ascii="Times New Roman" w:hAnsi="Times New Roman" w:cs="Times New Roman"/>
          <w:sz w:val="24"/>
          <w:szCs w:val="24"/>
        </w:rPr>
        <w:t xml:space="preserve"> is </w:t>
      </w:r>
      <w:r w:rsidRPr="004B7FC2">
        <w:rPr>
          <w:rFonts w:ascii="Times New Roman" w:hAnsi="Times New Roman" w:cs="Times New Roman"/>
          <w:sz w:val="24"/>
          <w:szCs w:val="24"/>
        </w:rPr>
        <w:t xml:space="preserve">a final year PhD student in the RNA Molecular Biology lab at Department of Microbiology and cell biology, Indian Institute of Science. </w:t>
      </w:r>
      <w:r>
        <w:rPr>
          <w:rFonts w:ascii="Times New Roman" w:hAnsi="Times New Roman" w:cs="Times New Roman"/>
          <w:sz w:val="24"/>
          <w:szCs w:val="24"/>
        </w:rPr>
        <w:t>His</w:t>
      </w:r>
      <w:r w:rsidRPr="004B7FC2">
        <w:rPr>
          <w:rFonts w:ascii="Times New Roman" w:hAnsi="Times New Roman" w:cs="Times New Roman"/>
          <w:sz w:val="24"/>
          <w:szCs w:val="24"/>
        </w:rPr>
        <w:t xml:space="preserve"> main research focus is to decipher the secrets of miRNA turnover in human cells and its physiological significance. </w:t>
      </w:r>
      <w:r>
        <w:rPr>
          <w:rFonts w:ascii="Times New Roman" w:hAnsi="Times New Roman" w:cs="Times New Roman"/>
          <w:sz w:val="24"/>
          <w:szCs w:val="24"/>
        </w:rPr>
        <w:t>His</w:t>
      </w:r>
      <w:r w:rsidRPr="004B7FC2">
        <w:rPr>
          <w:rFonts w:ascii="Times New Roman" w:hAnsi="Times New Roman" w:cs="Times New Roman"/>
          <w:sz w:val="24"/>
          <w:szCs w:val="24"/>
        </w:rPr>
        <w:t xml:space="preserve"> research interests are expansive in the field of non-coding RNA biology including everything from gaining new insights into the fundamental aspects of such RNAs to solving the problems that are inhibitory to their therapeutic implications.</w:t>
      </w:r>
    </w:p>
    <w:sectPr w:rsidR="004B7FC2" w:rsidRPr="004B7F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8C38F9"/>
    <w:multiLevelType w:val="hybridMultilevel"/>
    <w:tmpl w:val="D96819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1878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FC2"/>
    <w:rsid w:val="004B7FC2"/>
    <w:rsid w:val="00505D5D"/>
    <w:rsid w:val="007D4CEF"/>
    <w:rsid w:val="008F45A4"/>
    <w:rsid w:val="009A430A"/>
    <w:rsid w:val="00BA384E"/>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125E9"/>
  <w15:chartTrackingRefBased/>
  <w15:docId w15:val="{E4D08000-1E36-4CD8-9AC9-BDA5066F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7FC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B7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501</Words>
  <Characters>2858</Characters>
  <Application>Microsoft Office Word</Application>
  <DocSecurity>0</DocSecurity>
  <Lines>23</Lines>
  <Paragraphs>6</Paragraphs>
  <ScaleCrop>false</ScaleCrop>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1</cp:revision>
  <dcterms:created xsi:type="dcterms:W3CDTF">2022-11-21T07:05:00Z</dcterms:created>
  <dcterms:modified xsi:type="dcterms:W3CDTF">2022-11-21T07:12:00Z</dcterms:modified>
</cp:coreProperties>
</file>