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26F" w:rsidRPr="007544AD" w:rsidRDefault="00C4326F" w:rsidP="00C4326F">
      <w:pPr>
        <w:pStyle w:val="Heading1"/>
        <w:spacing w:before="170"/>
        <w:ind w:left="0"/>
        <w:jc w:val="both"/>
        <w:rPr>
          <w:rFonts w:ascii="Times New Roman" w:hAnsi="Times New Roman" w:cs="Times New Roman"/>
          <w:sz w:val="32"/>
          <w:szCs w:val="32"/>
        </w:rPr>
      </w:pPr>
      <w:bookmarkStart w:id="0" w:name="_GoBack"/>
      <w:bookmarkEnd w:id="0"/>
      <w:r w:rsidRPr="007544AD">
        <w:rPr>
          <w:rFonts w:ascii="Times New Roman" w:hAnsi="Times New Roman" w:cs="Times New Roman"/>
          <w:color w:val="337AB7"/>
          <w:sz w:val="32"/>
          <w:szCs w:val="32"/>
        </w:rPr>
        <w:t>Chronic wound diagnosis and monitoring using Telemedicine</w:t>
      </w:r>
    </w:p>
    <w:p w:rsidR="00C4326F" w:rsidRDefault="00C4326F" w:rsidP="00C4326F">
      <w:pPr>
        <w:pStyle w:val="BodyText"/>
        <w:spacing w:before="73" w:line="198" w:lineRule="exact"/>
        <w:ind w:right="5987"/>
        <w:rPr>
          <w:rFonts w:ascii="Times New Roman" w:hAnsi="Times New Roman" w:cs="Times New Roman"/>
          <w:sz w:val="24"/>
          <w:szCs w:val="24"/>
        </w:rPr>
      </w:pPr>
    </w:p>
    <w:p w:rsidR="00C4326F" w:rsidRDefault="00C4326F" w:rsidP="00C4326F">
      <w:pPr>
        <w:pStyle w:val="BodyText"/>
        <w:spacing w:before="73" w:line="198" w:lineRule="exact"/>
        <w:ind w:right="5987"/>
        <w:rPr>
          <w:rFonts w:ascii="Times New Roman" w:hAnsi="Times New Roman" w:cs="Times New Roman"/>
          <w:sz w:val="24"/>
          <w:szCs w:val="24"/>
        </w:rPr>
      </w:pPr>
      <w:proofErr w:type="spellStart"/>
      <w:r>
        <w:rPr>
          <w:rFonts w:ascii="Times New Roman" w:hAnsi="Times New Roman" w:cs="Times New Roman"/>
          <w:sz w:val="24"/>
          <w:szCs w:val="24"/>
        </w:rPr>
        <w:t>Chinmay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Chakraborty</w:t>
      </w:r>
      <w:proofErr w:type="spellEnd"/>
      <w:r>
        <w:rPr>
          <w:rFonts w:ascii="Times New Roman" w:hAnsi="Times New Roman" w:cs="Times New Roman"/>
          <w:sz w:val="24"/>
          <w:szCs w:val="24"/>
        </w:rPr>
        <w:t>*</w:t>
      </w:r>
    </w:p>
    <w:p w:rsidR="00C4326F" w:rsidRPr="008C4265" w:rsidRDefault="00C4326F" w:rsidP="00C4326F">
      <w:pPr>
        <w:pStyle w:val="BodyText"/>
        <w:spacing w:before="73" w:line="198" w:lineRule="exact"/>
        <w:ind w:right="5987"/>
        <w:rPr>
          <w:rFonts w:ascii="Times New Roman" w:hAnsi="Times New Roman" w:cs="Times New Roman"/>
          <w:sz w:val="24"/>
          <w:szCs w:val="24"/>
        </w:rPr>
      </w:pPr>
    </w:p>
    <w:p w:rsidR="00886C6D" w:rsidRDefault="00C4326F">
      <w:pPr>
        <w:rPr>
          <w:rFonts w:ascii="Times New Roman" w:hAnsi="Times New Roman" w:cs="Times New Roman"/>
        </w:rPr>
      </w:pPr>
      <w:r w:rsidRPr="00C4326F">
        <w:rPr>
          <w:rFonts w:ascii="Times New Roman" w:hAnsi="Times New Roman" w:cs="Times New Roman"/>
        </w:rPr>
        <w:t xml:space="preserve">Birla Institute of Technology – </w:t>
      </w:r>
      <w:proofErr w:type="spellStart"/>
      <w:r w:rsidRPr="00C4326F">
        <w:rPr>
          <w:rFonts w:ascii="Times New Roman" w:hAnsi="Times New Roman" w:cs="Times New Roman"/>
        </w:rPr>
        <w:t>Mesra</w:t>
      </w:r>
      <w:proofErr w:type="spellEnd"/>
      <w:r w:rsidRPr="00C4326F">
        <w:rPr>
          <w:rFonts w:ascii="Times New Roman" w:hAnsi="Times New Roman" w:cs="Times New Roman"/>
        </w:rPr>
        <w:t>, India</w:t>
      </w:r>
    </w:p>
    <w:p w:rsidR="00C4326F" w:rsidRDefault="00C4326F" w:rsidP="00C4326F">
      <w:pPr>
        <w:ind w:left="3600" w:firstLine="720"/>
        <w:jc w:val="both"/>
        <w:rPr>
          <w:rFonts w:ascii="Times New Roman" w:hAnsi="Times New Roman" w:cs="Times New Roman"/>
        </w:rPr>
      </w:pPr>
      <w:r w:rsidRPr="007544AD">
        <w:rPr>
          <w:rFonts w:ascii="Times New Roman" w:hAnsi="Times New Roman" w:cs="Times New Roman"/>
          <w:b/>
          <w:sz w:val="24"/>
          <w:szCs w:val="24"/>
        </w:rPr>
        <w:t>Abstract</w:t>
      </w:r>
    </w:p>
    <w:p w:rsidR="00C4326F" w:rsidRPr="00C4326F" w:rsidRDefault="00C4326F" w:rsidP="00C4326F">
      <w:pPr>
        <w:pStyle w:val="BodyText"/>
        <w:spacing w:before="90" w:line="280" w:lineRule="auto"/>
        <w:jc w:val="both"/>
        <w:rPr>
          <w:rFonts w:ascii="Times New Roman" w:hAnsi="Times New Roman" w:cs="Times New Roman"/>
          <w:sz w:val="20"/>
          <w:szCs w:val="20"/>
        </w:rPr>
      </w:pPr>
      <w:r w:rsidRPr="00C4326F">
        <w:rPr>
          <w:rFonts w:ascii="Times New Roman" w:hAnsi="Times New Roman" w:cs="Times New Roman"/>
          <w:b/>
          <w:sz w:val="20"/>
          <w:szCs w:val="20"/>
        </w:rPr>
        <w:t>Statement of the Problem</w:t>
      </w:r>
      <w:r w:rsidRPr="00C4326F">
        <w:rPr>
          <w:rFonts w:ascii="Times New Roman" w:hAnsi="Times New Roman" w:cs="Times New Roman"/>
          <w:sz w:val="20"/>
          <w:szCs w:val="20"/>
        </w:rPr>
        <w:t xml:space="preserve">: This work narrates some systematic quantitative and qualitative evaluation techniques for screening and diagnosis of chronic wound (CW) images under the telemedicine framework. In practice, the manual methods of measuring the healing process are subjective, at times error-prone and almost always time-consuming. The challenges to improve the accuracy and accessibility of the diagnostic facility lie in developing an automated CW diagnostic system for providing better healthcare support, especially when expert doctor is not always available. Keeping in mind such situations, this work includes a model for the development of automated diagnosis of CW using optical imaging and computer vision methods. This model is integrated in a </w:t>
      </w:r>
      <w:proofErr w:type="spellStart"/>
      <w:r w:rsidRPr="00C4326F">
        <w:rPr>
          <w:rFonts w:ascii="Times New Roman" w:hAnsi="Times New Roman" w:cs="Times New Roman"/>
          <w:sz w:val="20"/>
          <w:szCs w:val="20"/>
        </w:rPr>
        <w:t>tele</w:t>
      </w:r>
      <w:proofErr w:type="spellEnd"/>
      <w:r w:rsidRPr="00C4326F">
        <w:rPr>
          <w:rFonts w:ascii="Times New Roman" w:hAnsi="Times New Roman" w:cs="Times New Roman"/>
          <w:sz w:val="20"/>
          <w:szCs w:val="20"/>
        </w:rPr>
        <w:t xml:space="preserve">-wound monitoring (TWM) system within the telemedicine framework. This system also contains a specialized module which will be able to identify wound tissue with their different stage, with percentage of each type present in the wound. To accomplish this task the color variation over the wound bed in terms of tissue percentages at regular intervals is measured for a better prognostication. Measurement of the area and proportion of different tissues in CW is a guide for assessment of efficacy of treatment and wound healing rate. </w:t>
      </w:r>
    </w:p>
    <w:p w:rsidR="00C4326F" w:rsidRPr="00C4326F" w:rsidRDefault="00C4326F" w:rsidP="00C4326F">
      <w:pPr>
        <w:pStyle w:val="BodyText"/>
        <w:spacing w:before="90" w:line="280" w:lineRule="auto"/>
        <w:jc w:val="both"/>
        <w:rPr>
          <w:rFonts w:ascii="Times New Roman" w:hAnsi="Times New Roman" w:cs="Times New Roman"/>
          <w:sz w:val="20"/>
          <w:szCs w:val="20"/>
        </w:rPr>
      </w:pPr>
      <w:r w:rsidRPr="00C4326F">
        <w:rPr>
          <w:rFonts w:ascii="Times New Roman" w:hAnsi="Times New Roman" w:cs="Times New Roman"/>
          <w:sz w:val="20"/>
          <w:szCs w:val="20"/>
        </w:rPr>
        <w:t>This system has a holistic approach which will provide an efficient and better management of patients suffering from CWs. This will also help in breaching the distance and will be able to cater the remote rural population.</w:t>
      </w:r>
    </w:p>
    <w:p w:rsidR="00C4326F" w:rsidRPr="00C4326F" w:rsidRDefault="00C4326F" w:rsidP="00C4326F">
      <w:pPr>
        <w:pStyle w:val="BodyText"/>
        <w:spacing w:before="90" w:line="280" w:lineRule="auto"/>
        <w:jc w:val="both"/>
        <w:rPr>
          <w:rFonts w:ascii="Times New Roman" w:hAnsi="Times New Roman" w:cs="Times New Roman"/>
          <w:b/>
          <w:sz w:val="24"/>
          <w:szCs w:val="24"/>
        </w:rPr>
      </w:pPr>
      <w:r w:rsidRPr="00C4326F">
        <w:rPr>
          <w:rFonts w:ascii="Times New Roman" w:hAnsi="Times New Roman" w:cs="Times New Roman"/>
          <w:b/>
          <w:sz w:val="24"/>
          <w:szCs w:val="24"/>
        </w:rPr>
        <w:t>References</w:t>
      </w:r>
    </w:p>
    <w:p w:rsidR="00C4326F" w:rsidRPr="00C4326F" w:rsidRDefault="00C4326F" w:rsidP="00C4326F">
      <w:pPr>
        <w:pStyle w:val="BodyText"/>
        <w:spacing w:before="90" w:line="280" w:lineRule="auto"/>
        <w:jc w:val="both"/>
        <w:rPr>
          <w:rFonts w:ascii="Times New Roman" w:hAnsi="Times New Roman" w:cs="Times New Roman"/>
          <w:sz w:val="20"/>
          <w:szCs w:val="20"/>
        </w:rPr>
      </w:pPr>
      <w:r w:rsidRPr="00C4326F">
        <w:rPr>
          <w:rFonts w:ascii="Times New Roman" w:hAnsi="Times New Roman" w:cs="Times New Roman"/>
          <w:sz w:val="20"/>
          <w:szCs w:val="20"/>
        </w:rPr>
        <w:t>1.</w:t>
      </w:r>
      <w:r w:rsidRPr="00C4326F">
        <w:rPr>
          <w:rFonts w:ascii="Times New Roman" w:hAnsi="Times New Roman" w:cs="Times New Roman"/>
          <w:sz w:val="20"/>
          <w:szCs w:val="20"/>
        </w:rPr>
        <w:tab/>
      </w:r>
      <w:proofErr w:type="spellStart"/>
      <w:r w:rsidRPr="00C4326F">
        <w:rPr>
          <w:rFonts w:ascii="Times New Roman" w:hAnsi="Times New Roman" w:cs="Times New Roman"/>
          <w:sz w:val="20"/>
          <w:szCs w:val="20"/>
        </w:rPr>
        <w:t>Chinmay</w:t>
      </w:r>
      <w:proofErr w:type="spellEnd"/>
      <w:r w:rsidRPr="00C4326F">
        <w:rPr>
          <w:rFonts w:ascii="Times New Roman" w:hAnsi="Times New Roman" w:cs="Times New Roman"/>
          <w:sz w:val="20"/>
          <w:szCs w:val="20"/>
        </w:rPr>
        <w:t xml:space="preserve"> C., Gupta B., </w:t>
      </w:r>
      <w:proofErr w:type="spellStart"/>
      <w:r w:rsidRPr="00C4326F">
        <w:rPr>
          <w:rFonts w:ascii="Times New Roman" w:hAnsi="Times New Roman" w:cs="Times New Roman"/>
          <w:sz w:val="20"/>
          <w:szCs w:val="20"/>
        </w:rPr>
        <w:t>Ghosh</w:t>
      </w:r>
      <w:proofErr w:type="spellEnd"/>
      <w:r w:rsidRPr="00C4326F">
        <w:rPr>
          <w:rFonts w:ascii="Times New Roman" w:hAnsi="Times New Roman" w:cs="Times New Roman"/>
          <w:sz w:val="20"/>
          <w:szCs w:val="20"/>
        </w:rPr>
        <w:t xml:space="preserve"> S.K., Das D, </w:t>
      </w:r>
      <w:proofErr w:type="spellStart"/>
      <w:r w:rsidRPr="00C4326F">
        <w:rPr>
          <w:rFonts w:ascii="Times New Roman" w:hAnsi="Times New Roman" w:cs="Times New Roman"/>
          <w:sz w:val="20"/>
          <w:szCs w:val="20"/>
        </w:rPr>
        <w:t>Chakraborty</w:t>
      </w:r>
      <w:proofErr w:type="spellEnd"/>
      <w:r w:rsidRPr="00C4326F">
        <w:rPr>
          <w:rFonts w:ascii="Times New Roman" w:hAnsi="Times New Roman" w:cs="Times New Roman"/>
          <w:sz w:val="20"/>
          <w:szCs w:val="20"/>
        </w:rPr>
        <w:t xml:space="preserve"> C. (2016), Telemedicine Supported Chronic Wound Tissue Prediction Using Different Classification Approach, Journal of Medical Systems, 40(3), 1-12, 10.1007/s10916-015-0424-y</w:t>
      </w:r>
    </w:p>
    <w:p w:rsidR="00C4326F" w:rsidRPr="00C4326F" w:rsidRDefault="00C4326F" w:rsidP="00C4326F">
      <w:pPr>
        <w:pStyle w:val="BodyText"/>
        <w:spacing w:before="90" w:line="280" w:lineRule="auto"/>
        <w:jc w:val="both"/>
        <w:rPr>
          <w:rFonts w:ascii="Times New Roman" w:hAnsi="Times New Roman" w:cs="Times New Roman"/>
          <w:sz w:val="20"/>
          <w:szCs w:val="20"/>
        </w:rPr>
      </w:pPr>
      <w:r w:rsidRPr="00C4326F">
        <w:rPr>
          <w:rFonts w:ascii="Times New Roman" w:hAnsi="Times New Roman" w:cs="Times New Roman"/>
          <w:sz w:val="20"/>
          <w:szCs w:val="20"/>
        </w:rPr>
        <w:t>2.</w:t>
      </w:r>
      <w:r w:rsidRPr="00C4326F">
        <w:rPr>
          <w:rFonts w:ascii="Times New Roman" w:hAnsi="Times New Roman" w:cs="Times New Roman"/>
          <w:sz w:val="20"/>
          <w:szCs w:val="20"/>
        </w:rPr>
        <w:tab/>
        <w:t xml:space="preserve">Z. </w:t>
      </w:r>
      <w:proofErr w:type="spellStart"/>
      <w:r w:rsidRPr="00C4326F">
        <w:rPr>
          <w:rFonts w:ascii="Times New Roman" w:hAnsi="Times New Roman" w:cs="Times New Roman"/>
          <w:sz w:val="20"/>
          <w:szCs w:val="20"/>
        </w:rPr>
        <w:t>Xu</w:t>
      </w:r>
      <w:proofErr w:type="spellEnd"/>
      <w:r w:rsidRPr="00C4326F">
        <w:rPr>
          <w:rFonts w:ascii="Times New Roman" w:hAnsi="Times New Roman" w:cs="Times New Roman"/>
          <w:sz w:val="20"/>
          <w:szCs w:val="20"/>
        </w:rPr>
        <w:t xml:space="preserve">, Y. </w:t>
      </w:r>
      <w:proofErr w:type="spellStart"/>
      <w:r w:rsidRPr="00C4326F">
        <w:rPr>
          <w:rFonts w:ascii="Times New Roman" w:hAnsi="Times New Roman" w:cs="Times New Roman"/>
          <w:sz w:val="20"/>
          <w:szCs w:val="20"/>
        </w:rPr>
        <w:t>Guo</w:t>
      </w:r>
      <w:proofErr w:type="spellEnd"/>
      <w:r w:rsidRPr="00C4326F">
        <w:rPr>
          <w:rFonts w:ascii="Times New Roman" w:hAnsi="Times New Roman" w:cs="Times New Roman"/>
          <w:sz w:val="20"/>
          <w:szCs w:val="20"/>
        </w:rPr>
        <w:t xml:space="preserve">, C. </w:t>
      </w:r>
      <w:proofErr w:type="spellStart"/>
      <w:r w:rsidRPr="00C4326F">
        <w:rPr>
          <w:rFonts w:ascii="Times New Roman" w:hAnsi="Times New Roman" w:cs="Times New Roman"/>
          <w:sz w:val="20"/>
          <w:szCs w:val="20"/>
        </w:rPr>
        <w:t>Chakraborty</w:t>
      </w:r>
      <w:proofErr w:type="spellEnd"/>
      <w:r w:rsidRPr="00C4326F">
        <w:rPr>
          <w:rFonts w:ascii="Times New Roman" w:hAnsi="Times New Roman" w:cs="Times New Roman"/>
          <w:sz w:val="20"/>
          <w:szCs w:val="20"/>
        </w:rPr>
        <w:t xml:space="preserve">, Q. </w:t>
      </w:r>
      <w:proofErr w:type="spellStart"/>
      <w:r w:rsidRPr="00C4326F">
        <w:rPr>
          <w:rFonts w:ascii="Times New Roman" w:hAnsi="Times New Roman" w:cs="Times New Roman"/>
          <w:sz w:val="20"/>
          <w:szCs w:val="20"/>
        </w:rPr>
        <w:t>Hua</w:t>
      </w:r>
      <w:proofErr w:type="spellEnd"/>
      <w:r w:rsidRPr="00C4326F">
        <w:rPr>
          <w:rFonts w:ascii="Times New Roman" w:hAnsi="Times New Roman" w:cs="Times New Roman"/>
          <w:sz w:val="20"/>
          <w:szCs w:val="20"/>
        </w:rPr>
        <w:t>, S. Chen and K. Yu(2022), "A Simple Federated Learning-based Scheme for Security Enhancement over Internet of Medical Things," in IEEE Journal of Biomedical and Health Informatics, 10.1109/JBHI.2022.3187471</w:t>
      </w:r>
    </w:p>
    <w:p w:rsidR="00C4326F" w:rsidRPr="00C4326F" w:rsidRDefault="00C4326F" w:rsidP="00C4326F">
      <w:pPr>
        <w:pStyle w:val="BodyText"/>
        <w:spacing w:before="90" w:line="280" w:lineRule="auto"/>
        <w:jc w:val="both"/>
        <w:rPr>
          <w:rFonts w:ascii="Times New Roman" w:hAnsi="Times New Roman" w:cs="Times New Roman"/>
          <w:sz w:val="20"/>
          <w:szCs w:val="20"/>
        </w:rPr>
      </w:pPr>
      <w:r w:rsidRPr="00C4326F">
        <w:rPr>
          <w:rFonts w:ascii="Times New Roman" w:hAnsi="Times New Roman" w:cs="Times New Roman"/>
          <w:sz w:val="20"/>
          <w:szCs w:val="20"/>
        </w:rPr>
        <w:t>3.</w:t>
      </w:r>
      <w:r w:rsidRPr="00C4326F">
        <w:rPr>
          <w:rFonts w:ascii="Times New Roman" w:hAnsi="Times New Roman" w:cs="Times New Roman"/>
          <w:sz w:val="20"/>
          <w:szCs w:val="20"/>
        </w:rPr>
        <w:tab/>
      </w:r>
      <w:proofErr w:type="spellStart"/>
      <w:r w:rsidRPr="00C4326F">
        <w:rPr>
          <w:rFonts w:ascii="Times New Roman" w:hAnsi="Times New Roman" w:cs="Times New Roman"/>
          <w:sz w:val="20"/>
          <w:szCs w:val="20"/>
        </w:rPr>
        <w:t>Chinmay</w:t>
      </w:r>
      <w:proofErr w:type="spellEnd"/>
      <w:r w:rsidRPr="00C4326F">
        <w:rPr>
          <w:rFonts w:ascii="Times New Roman" w:hAnsi="Times New Roman" w:cs="Times New Roman"/>
          <w:sz w:val="20"/>
          <w:szCs w:val="20"/>
        </w:rPr>
        <w:t xml:space="preserve"> C, Mishra K, </w:t>
      </w:r>
      <w:proofErr w:type="spellStart"/>
      <w:r w:rsidRPr="00C4326F">
        <w:rPr>
          <w:rFonts w:ascii="Times New Roman" w:hAnsi="Times New Roman" w:cs="Times New Roman"/>
          <w:sz w:val="20"/>
          <w:szCs w:val="20"/>
        </w:rPr>
        <w:t>Majhi</w:t>
      </w:r>
      <w:proofErr w:type="spellEnd"/>
      <w:r w:rsidRPr="00C4326F">
        <w:rPr>
          <w:rFonts w:ascii="Times New Roman" w:hAnsi="Times New Roman" w:cs="Times New Roman"/>
          <w:sz w:val="20"/>
          <w:szCs w:val="20"/>
        </w:rPr>
        <w:t xml:space="preserve"> SK, </w:t>
      </w:r>
      <w:proofErr w:type="spellStart"/>
      <w:r w:rsidRPr="00C4326F">
        <w:rPr>
          <w:rFonts w:ascii="Times New Roman" w:hAnsi="Times New Roman" w:cs="Times New Roman"/>
          <w:sz w:val="20"/>
          <w:szCs w:val="20"/>
        </w:rPr>
        <w:t>Hemanta</w:t>
      </w:r>
      <w:proofErr w:type="spellEnd"/>
      <w:r w:rsidRPr="00C4326F">
        <w:rPr>
          <w:rFonts w:ascii="Times New Roman" w:hAnsi="Times New Roman" w:cs="Times New Roman"/>
          <w:sz w:val="20"/>
          <w:szCs w:val="20"/>
        </w:rPr>
        <w:t xml:space="preserve"> B. (2022), Intelligent Latency-aware tasks prioritization and offloading strategy in Distributed Fog-Cloud of Things, IEEE Transactions on Industrial Informatics, 10.1109/TII.2022.3173899</w:t>
      </w:r>
    </w:p>
    <w:p w:rsidR="00C4326F" w:rsidRPr="00C4326F" w:rsidRDefault="00C4326F" w:rsidP="00C4326F">
      <w:pPr>
        <w:pStyle w:val="BodyText"/>
        <w:spacing w:before="90" w:line="280" w:lineRule="auto"/>
        <w:jc w:val="both"/>
        <w:rPr>
          <w:rFonts w:ascii="Times New Roman" w:hAnsi="Times New Roman" w:cs="Times New Roman"/>
          <w:sz w:val="20"/>
          <w:szCs w:val="20"/>
        </w:rPr>
      </w:pPr>
      <w:r w:rsidRPr="00C4326F">
        <w:rPr>
          <w:rFonts w:ascii="Times New Roman" w:hAnsi="Times New Roman" w:cs="Times New Roman"/>
          <w:sz w:val="20"/>
          <w:szCs w:val="20"/>
        </w:rPr>
        <w:t>4.</w:t>
      </w:r>
      <w:r w:rsidRPr="00C4326F">
        <w:rPr>
          <w:rFonts w:ascii="Times New Roman" w:hAnsi="Times New Roman" w:cs="Times New Roman"/>
          <w:sz w:val="20"/>
          <w:szCs w:val="20"/>
        </w:rPr>
        <w:tab/>
      </w:r>
      <w:proofErr w:type="spellStart"/>
      <w:r w:rsidRPr="00C4326F">
        <w:rPr>
          <w:rFonts w:ascii="Times New Roman" w:hAnsi="Times New Roman" w:cs="Times New Roman"/>
          <w:sz w:val="20"/>
          <w:szCs w:val="20"/>
        </w:rPr>
        <w:t>Chinmay</w:t>
      </w:r>
      <w:proofErr w:type="spellEnd"/>
      <w:r w:rsidRPr="00C4326F">
        <w:rPr>
          <w:rFonts w:ascii="Times New Roman" w:hAnsi="Times New Roman" w:cs="Times New Roman"/>
          <w:sz w:val="20"/>
          <w:szCs w:val="20"/>
        </w:rPr>
        <w:t xml:space="preserve"> C, </w:t>
      </w:r>
      <w:proofErr w:type="spellStart"/>
      <w:r w:rsidRPr="00C4326F">
        <w:rPr>
          <w:rFonts w:ascii="Times New Roman" w:hAnsi="Times New Roman" w:cs="Times New Roman"/>
          <w:sz w:val="20"/>
          <w:szCs w:val="20"/>
        </w:rPr>
        <w:t>Amit</w:t>
      </w:r>
      <w:proofErr w:type="spellEnd"/>
      <w:r w:rsidRPr="00C4326F">
        <w:rPr>
          <w:rFonts w:ascii="Times New Roman" w:hAnsi="Times New Roman" w:cs="Times New Roman"/>
          <w:sz w:val="20"/>
          <w:szCs w:val="20"/>
        </w:rPr>
        <w:t xml:space="preserve"> </w:t>
      </w:r>
      <w:proofErr w:type="gramStart"/>
      <w:r w:rsidRPr="00C4326F">
        <w:rPr>
          <w:rFonts w:ascii="Times New Roman" w:hAnsi="Times New Roman" w:cs="Times New Roman"/>
          <w:sz w:val="20"/>
          <w:szCs w:val="20"/>
        </w:rPr>
        <w:t>K(</w:t>
      </w:r>
      <w:proofErr w:type="gramEnd"/>
      <w:r w:rsidRPr="00C4326F">
        <w:rPr>
          <w:rFonts w:ascii="Times New Roman" w:hAnsi="Times New Roman" w:cs="Times New Roman"/>
          <w:sz w:val="20"/>
          <w:szCs w:val="20"/>
        </w:rPr>
        <w:t>2022), Real-Time cloud based Patient-Centric Monitoring using Computational health systems, IEEE Transactions on Computational Social Systems, 10.1109/TCSS.2022.3170375</w:t>
      </w:r>
    </w:p>
    <w:p w:rsidR="00C4326F" w:rsidRDefault="00C4326F" w:rsidP="00C4326F">
      <w:pPr>
        <w:pStyle w:val="BodyText"/>
        <w:spacing w:before="90" w:line="280" w:lineRule="auto"/>
        <w:jc w:val="both"/>
        <w:rPr>
          <w:rFonts w:ascii="Times New Roman" w:hAnsi="Times New Roman" w:cs="Times New Roman"/>
          <w:sz w:val="20"/>
          <w:szCs w:val="20"/>
        </w:rPr>
      </w:pPr>
      <w:r w:rsidRPr="00C4326F">
        <w:rPr>
          <w:rFonts w:ascii="Times New Roman" w:hAnsi="Times New Roman" w:cs="Times New Roman"/>
          <w:sz w:val="20"/>
          <w:szCs w:val="20"/>
        </w:rPr>
        <w:t>5.</w:t>
      </w:r>
      <w:r w:rsidRPr="00C4326F">
        <w:rPr>
          <w:rFonts w:ascii="Times New Roman" w:hAnsi="Times New Roman" w:cs="Times New Roman"/>
          <w:sz w:val="20"/>
          <w:szCs w:val="20"/>
        </w:rPr>
        <w:tab/>
      </w:r>
      <w:proofErr w:type="spellStart"/>
      <w:r w:rsidRPr="00C4326F">
        <w:rPr>
          <w:rFonts w:ascii="Times New Roman" w:hAnsi="Times New Roman" w:cs="Times New Roman"/>
          <w:sz w:val="20"/>
          <w:szCs w:val="20"/>
        </w:rPr>
        <w:t>Hemanta</w:t>
      </w:r>
      <w:proofErr w:type="spellEnd"/>
      <w:r w:rsidRPr="00C4326F">
        <w:rPr>
          <w:rFonts w:ascii="Times New Roman" w:hAnsi="Times New Roman" w:cs="Times New Roman"/>
          <w:sz w:val="20"/>
          <w:szCs w:val="20"/>
        </w:rPr>
        <w:t xml:space="preserve"> KB, </w:t>
      </w:r>
      <w:proofErr w:type="spellStart"/>
      <w:r w:rsidRPr="00C4326F">
        <w:rPr>
          <w:rFonts w:ascii="Times New Roman" w:hAnsi="Times New Roman" w:cs="Times New Roman"/>
          <w:sz w:val="20"/>
          <w:szCs w:val="20"/>
        </w:rPr>
        <w:t>Chinmay</w:t>
      </w:r>
      <w:proofErr w:type="spellEnd"/>
      <w:r w:rsidRPr="00C4326F">
        <w:rPr>
          <w:rFonts w:ascii="Times New Roman" w:hAnsi="Times New Roman" w:cs="Times New Roman"/>
          <w:sz w:val="20"/>
          <w:szCs w:val="20"/>
        </w:rPr>
        <w:t xml:space="preserve"> C, </w:t>
      </w:r>
      <w:proofErr w:type="spellStart"/>
      <w:r w:rsidRPr="00C4326F">
        <w:rPr>
          <w:rFonts w:ascii="Times New Roman" w:hAnsi="Times New Roman" w:cs="Times New Roman"/>
          <w:sz w:val="20"/>
          <w:szCs w:val="20"/>
        </w:rPr>
        <w:t>Subhendu</w:t>
      </w:r>
      <w:proofErr w:type="spellEnd"/>
      <w:r w:rsidRPr="00C4326F">
        <w:rPr>
          <w:rFonts w:ascii="Times New Roman" w:hAnsi="Times New Roman" w:cs="Times New Roman"/>
          <w:sz w:val="20"/>
          <w:szCs w:val="20"/>
        </w:rPr>
        <w:t xml:space="preserve"> KP, </w:t>
      </w:r>
      <w:proofErr w:type="spellStart"/>
      <w:r w:rsidRPr="00C4326F">
        <w:rPr>
          <w:rFonts w:ascii="Times New Roman" w:hAnsi="Times New Roman" w:cs="Times New Roman"/>
          <w:sz w:val="20"/>
          <w:szCs w:val="20"/>
        </w:rPr>
        <w:t>Vinayak</w:t>
      </w:r>
      <w:proofErr w:type="spellEnd"/>
      <w:r w:rsidRPr="00C4326F">
        <w:rPr>
          <w:rFonts w:ascii="Times New Roman" w:hAnsi="Times New Roman" w:cs="Times New Roman"/>
          <w:sz w:val="20"/>
          <w:szCs w:val="20"/>
        </w:rPr>
        <w:t xml:space="preserve"> KR(2021), Feature and Sub-feature selection for classification using correlation coefficient and fuzzy model, IEEE Transaction on Engineering Management, 1-15, 10.1109/TEM.2021.3065699</w:t>
      </w:r>
    </w:p>
    <w:p w:rsidR="00C4326F" w:rsidRDefault="00C4326F" w:rsidP="00C4326F">
      <w:pPr>
        <w:pStyle w:val="BodyText"/>
        <w:spacing w:before="90" w:line="280" w:lineRule="auto"/>
        <w:jc w:val="both"/>
        <w:rPr>
          <w:rFonts w:ascii="Times New Roman" w:hAnsi="Times New Roman" w:cs="Times New Roman"/>
          <w:sz w:val="20"/>
          <w:szCs w:val="20"/>
        </w:rPr>
      </w:pPr>
    </w:p>
    <w:p w:rsidR="00C4326F" w:rsidRPr="00C4326F" w:rsidRDefault="00C4326F" w:rsidP="00C4326F">
      <w:pPr>
        <w:tabs>
          <w:tab w:val="left" w:pos="3930"/>
        </w:tabs>
        <w:jc w:val="both"/>
        <w:rPr>
          <w:rFonts w:ascii="Times New Roman" w:hAnsi="Times New Roman" w:cs="Times New Roman"/>
          <w:b/>
          <w:color w:val="000000" w:themeColor="text1"/>
          <w:sz w:val="24"/>
          <w:szCs w:val="24"/>
        </w:rPr>
      </w:pPr>
      <w:r w:rsidRPr="00C4326F">
        <w:rPr>
          <w:rFonts w:ascii="Times New Roman" w:hAnsi="Times New Roman" w:cs="Times New Roman"/>
          <w:b/>
          <w:color w:val="000000" w:themeColor="text1"/>
          <w:sz w:val="24"/>
          <w:szCs w:val="24"/>
        </w:rPr>
        <w:t>Biography</w:t>
      </w:r>
    </w:p>
    <w:p w:rsidR="00C4326F" w:rsidRPr="00C4326F" w:rsidRDefault="00C4326F" w:rsidP="00C4326F">
      <w:pPr>
        <w:pStyle w:val="cdt4ke"/>
        <w:jc w:val="both"/>
        <w:rPr>
          <w:rFonts w:eastAsia="Tw Cen MT"/>
          <w:sz w:val="20"/>
          <w:szCs w:val="20"/>
        </w:rPr>
      </w:pPr>
      <w:r w:rsidRPr="00C4326F">
        <w:rPr>
          <w:rFonts w:eastAsia="Tw Cen MT"/>
          <w:b/>
          <w:bCs/>
          <w:sz w:val="20"/>
          <w:szCs w:val="20"/>
        </w:rPr>
        <w:t xml:space="preserve">Dr. </w:t>
      </w:r>
      <w:proofErr w:type="spellStart"/>
      <w:r w:rsidRPr="00C4326F">
        <w:rPr>
          <w:rFonts w:eastAsia="Tw Cen MT"/>
          <w:b/>
          <w:bCs/>
          <w:sz w:val="20"/>
          <w:szCs w:val="20"/>
        </w:rPr>
        <w:t>Chinmay</w:t>
      </w:r>
      <w:proofErr w:type="spellEnd"/>
      <w:r w:rsidRPr="00C4326F">
        <w:rPr>
          <w:rFonts w:eastAsia="Tw Cen MT"/>
          <w:b/>
          <w:bCs/>
          <w:sz w:val="20"/>
          <w:szCs w:val="20"/>
        </w:rPr>
        <w:t xml:space="preserve"> </w:t>
      </w:r>
      <w:proofErr w:type="spellStart"/>
      <w:r w:rsidRPr="00C4326F">
        <w:rPr>
          <w:rFonts w:eastAsia="Tw Cen MT"/>
          <w:b/>
          <w:bCs/>
          <w:sz w:val="20"/>
          <w:szCs w:val="20"/>
        </w:rPr>
        <w:t>Chakraborty</w:t>
      </w:r>
      <w:proofErr w:type="spellEnd"/>
      <w:r w:rsidRPr="00C4326F">
        <w:rPr>
          <w:rFonts w:eastAsia="Tw Cen MT"/>
          <w:b/>
          <w:bCs/>
          <w:sz w:val="20"/>
          <w:szCs w:val="20"/>
        </w:rPr>
        <w:t>, SMIEEE</w:t>
      </w:r>
      <w:r w:rsidRPr="00C4326F">
        <w:rPr>
          <w:rFonts w:eastAsia="Tw Cen MT"/>
          <w:sz w:val="20"/>
          <w:szCs w:val="20"/>
        </w:rPr>
        <w:t xml:space="preserve"> is an Assistant Professor in Electronics and Communication Engineering, Birla Institute of Technology, </w:t>
      </w:r>
      <w:proofErr w:type="spellStart"/>
      <w:r w:rsidRPr="00C4326F">
        <w:rPr>
          <w:rFonts w:eastAsia="Tw Cen MT"/>
          <w:sz w:val="20"/>
          <w:szCs w:val="20"/>
        </w:rPr>
        <w:t>Mesra</w:t>
      </w:r>
      <w:proofErr w:type="spellEnd"/>
      <w:r w:rsidRPr="00C4326F">
        <w:rPr>
          <w:rFonts w:eastAsia="Tw Cen MT"/>
          <w:sz w:val="20"/>
          <w:szCs w:val="20"/>
        </w:rPr>
        <w:t xml:space="preserve">, India and he completed Post-doctoral fellow from Federal University of </w:t>
      </w:r>
      <w:proofErr w:type="spellStart"/>
      <w:r w:rsidRPr="00C4326F">
        <w:rPr>
          <w:rFonts w:eastAsia="Tw Cen MT"/>
          <w:sz w:val="20"/>
          <w:szCs w:val="20"/>
        </w:rPr>
        <w:t>Piauí</w:t>
      </w:r>
      <w:proofErr w:type="spellEnd"/>
      <w:r w:rsidRPr="00C4326F">
        <w:rPr>
          <w:rFonts w:eastAsia="Tw Cen MT"/>
          <w:sz w:val="20"/>
          <w:szCs w:val="20"/>
        </w:rPr>
        <w:t>, Brazil. His main research interests include the Internet of Medical Things (</w:t>
      </w:r>
      <w:proofErr w:type="spellStart"/>
      <w:r w:rsidRPr="00C4326F">
        <w:rPr>
          <w:rFonts w:eastAsia="Tw Cen MT"/>
          <w:sz w:val="20"/>
          <w:szCs w:val="20"/>
        </w:rPr>
        <w:t>IoMT</w:t>
      </w:r>
      <w:proofErr w:type="spellEnd"/>
      <w:r w:rsidRPr="00C4326F">
        <w:rPr>
          <w:rFonts w:eastAsia="Tw Cen MT"/>
          <w:sz w:val="20"/>
          <w:szCs w:val="20"/>
        </w:rPr>
        <w:t xml:space="preserve">), Wireless Body Sensor Networks, Wireless Networks, Telemedicine, m-Health/e-health, and Medical Imaging. Dr. </w:t>
      </w:r>
      <w:proofErr w:type="spellStart"/>
      <w:r w:rsidRPr="00C4326F">
        <w:rPr>
          <w:rFonts w:eastAsia="Tw Cen MT"/>
          <w:sz w:val="20"/>
          <w:szCs w:val="20"/>
        </w:rPr>
        <w:t>Chakraborty</w:t>
      </w:r>
      <w:proofErr w:type="spellEnd"/>
      <w:r w:rsidRPr="00C4326F">
        <w:rPr>
          <w:rFonts w:eastAsia="Tw Cen MT"/>
          <w:sz w:val="20"/>
          <w:szCs w:val="20"/>
        </w:rPr>
        <w:t xml:space="preserve"> has published 190+ articles at reputed international journals, conferences, book chapters, 22+ books and 20+ special issues. He has served as a Publicity Chair member at renowned international conferences including IEEE </w:t>
      </w:r>
      <w:proofErr w:type="spellStart"/>
      <w:r w:rsidRPr="00C4326F">
        <w:rPr>
          <w:rFonts w:eastAsia="Tw Cen MT"/>
          <w:sz w:val="20"/>
          <w:szCs w:val="20"/>
        </w:rPr>
        <w:t>Healthcom</w:t>
      </w:r>
      <w:proofErr w:type="spellEnd"/>
      <w:r w:rsidRPr="00C4326F">
        <w:rPr>
          <w:rFonts w:eastAsia="Tw Cen MT"/>
          <w:sz w:val="20"/>
          <w:szCs w:val="20"/>
        </w:rPr>
        <w:t xml:space="preserve">, IEEE SP-DLT. Dr. </w:t>
      </w:r>
      <w:proofErr w:type="spellStart"/>
      <w:r w:rsidRPr="00C4326F">
        <w:rPr>
          <w:rFonts w:eastAsia="Tw Cen MT"/>
          <w:sz w:val="20"/>
          <w:szCs w:val="20"/>
        </w:rPr>
        <w:t>Chakraborty</w:t>
      </w:r>
      <w:proofErr w:type="spellEnd"/>
      <w:r w:rsidRPr="00C4326F">
        <w:rPr>
          <w:rFonts w:eastAsia="Tw Cen MT"/>
          <w:sz w:val="20"/>
          <w:szCs w:val="20"/>
        </w:rPr>
        <w:t xml:space="preserve"> is a member of Internet Society, Institute for Engineering Research and Publication and IEEE. He received a Best Session Runner-up Award, Young Research Excellence Award, Global Peer Review Award, Young Faculty Award, Outstanding Researcher </w:t>
      </w:r>
      <w:r w:rsidRPr="00C4326F">
        <w:rPr>
          <w:rFonts w:eastAsia="Tw Cen MT"/>
          <w:sz w:val="20"/>
          <w:szCs w:val="20"/>
        </w:rPr>
        <w:lastRenderedPageBreak/>
        <w:t>Award, Outstanding Paper in the 2022 Emerald Literati Awards</w:t>
      </w:r>
      <w:r w:rsidRPr="00C4326F">
        <w:rPr>
          <w:rFonts w:eastAsia="Tw Cen MT"/>
          <w:b/>
          <w:bCs/>
          <w:sz w:val="20"/>
          <w:szCs w:val="20"/>
        </w:rPr>
        <w:t xml:space="preserve">, </w:t>
      </w:r>
      <w:r w:rsidRPr="00C4326F">
        <w:rPr>
          <w:rFonts w:eastAsia="Tw Cen MT"/>
          <w:sz w:val="20"/>
          <w:szCs w:val="20"/>
        </w:rPr>
        <w:t xml:space="preserve">and also selected as one of the top 2% of scientists in the world in the field of "Artificial Intelligence and Image Processing," Stanford University, USA. </w:t>
      </w:r>
    </w:p>
    <w:p w:rsidR="00C4326F" w:rsidRPr="00C4326F" w:rsidRDefault="00C4326F" w:rsidP="00C4326F">
      <w:pPr>
        <w:jc w:val="both"/>
        <w:rPr>
          <w:rFonts w:ascii="Times New Roman" w:hAnsi="Times New Roman" w:cs="Times New Roman"/>
        </w:rPr>
      </w:pPr>
    </w:p>
    <w:sectPr w:rsidR="00C4326F" w:rsidRPr="00C43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26F"/>
    <w:rsid w:val="00275660"/>
    <w:rsid w:val="008D4CD2"/>
    <w:rsid w:val="00C432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4326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4326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C4326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4326F"/>
    <w:rPr>
      <w:rFonts w:ascii="Tw Cen MT" w:eastAsia="Tw Cen MT" w:hAnsi="Tw Cen MT" w:cs="Tw Cen MT"/>
      <w:sz w:val="18"/>
      <w:szCs w:val="18"/>
      <w:lang w:val="en-US"/>
    </w:rPr>
  </w:style>
  <w:style w:type="paragraph" w:customStyle="1" w:styleId="cdt4ke">
    <w:name w:val="cdt4ke"/>
    <w:basedOn w:val="Normal"/>
    <w:rsid w:val="00C4326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4326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4326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C4326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4326F"/>
    <w:rPr>
      <w:rFonts w:ascii="Tw Cen MT" w:eastAsia="Tw Cen MT" w:hAnsi="Tw Cen MT" w:cs="Tw Cen MT"/>
      <w:sz w:val="18"/>
      <w:szCs w:val="18"/>
      <w:lang w:val="en-US"/>
    </w:rPr>
  </w:style>
  <w:style w:type="paragraph" w:customStyle="1" w:styleId="cdt4ke">
    <w:name w:val="cdt4ke"/>
    <w:basedOn w:val="Normal"/>
    <w:rsid w:val="00C4326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2022-11-18T03:41:00Z</dcterms:created>
  <dcterms:modified xsi:type="dcterms:W3CDTF">2022-11-18T03:44:00Z</dcterms:modified>
</cp:coreProperties>
</file>