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1B9E11" w14:textId="47E01DCE" w:rsidR="00B1236F" w:rsidRDefault="00B1236F" w:rsidP="00B009A3">
      <w:pPr>
        <w:pStyle w:val="GvdeMetni"/>
        <w:spacing w:before="73" w:line="276" w:lineRule="auto"/>
        <w:ind w:right="484"/>
        <w:rPr>
          <w:rFonts w:ascii="Arial"/>
          <w:color w:val="0070C0"/>
          <w:sz w:val="28"/>
          <w:szCs w:val="28"/>
        </w:rPr>
      </w:pPr>
      <w:bookmarkStart w:id="0" w:name="_Hlk118932921"/>
      <w:r w:rsidRPr="00B1236F">
        <w:rPr>
          <w:rFonts w:ascii="Arial"/>
          <w:color w:val="0070C0"/>
          <w:sz w:val="28"/>
          <w:szCs w:val="28"/>
        </w:rPr>
        <w:t>Investigation of The Oncolytic Effects of Myxoma Virus in Multiple Myeloma Cells</w:t>
      </w:r>
    </w:p>
    <w:p w14:paraId="24924ADB" w14:textId="77777777" w:rsidR="00B009A3" w:rsidRDefault="00B009A3" w:rsidP="00B009A3">
      <w:pPr>
        <w:pStyle w:val="GvdeMetni"/>
        <w:spacing w:before="73" w:line="276" w:lineRule="auto"/>
        <w:ind w:right="-83"/>
        <w:rPr>
          <w:rFonts w:ascii="Arial"/>
          <w:i/>
          <w:iCs/>
          <w:color w:val="0070C0"/>
          <w:vertAlign w:val="superscript"/>
          <w:lang w:val="tr-TR"/>
        </w:rPr>
      </w:pPr>
      <w:r w:rsidRPr="00B009A3">
        <w:rPr>
          <w:rFonts w:ascii="Arial"/>
          <w:i/>
          <w:iCs/>
          <w:color w:val="0070C0"/>
          <w:lang w:val="tr-TR"/>
        </w:rPr>
        <w:t>MD.PhD Ye</w:t>
      </w:r>
      <w:r w:rsidRPr="00B009A3">
        <w:rPr>
          <w:rFonts w:ascii="Arial"/>
          <w:i/>
          <w:iCs/>
          <w:color w:val="0070C0"/>
          <w:lang w:val="tr-TR"/>
        </w:rPr>
        <w:t>s</w:t>
      </w:r>
      <w:r w:rsidRPr="00B009A3">
        <w:rPr>
          <w:rFonts w:ascii="Arial"/>
          <w:i/>
          <w:iCs/>
          <w:color w:val="0070C0"/>
          <w:lang w:val="tr-TR"/>
        </w:rPr>
        <w:t>ilaltay A</w:t>
      </w:r>
      <w:r w:rsidRPr="00B009A3">
        <w:rPr>
          <w:rFonts w:ascii="Arial"/>
          <w:i/>
          <w:iCs/>
          <w:color w:val="0070C0"/>
          <w:vertAlign w:val="superscript"/>
          <w:lang w:val="tr-TR"/>
        </w:rPr>
        <w:t>1</w:t>
      </w:r>
      <w:r w:rsidRPr="00B009A3">
        <w:rPr>
          <w:rFonts w:ascii="Arial"/>
          <w:i/>
          <w:iCs/>
          <w:color w:val="0070C0"/>
          <w:lang w:val="tr-TR"/>
        </w:rPr>
        <w:t xml:space="preserve"> ,PhD.Muz D</w:t>
      </w:r>
      <w:r w:rsidRPr="00B009A3">
        <w:rPr>
          <w:rFonts w:ascii="Arial"/>
          <w:i/>
          <w:iCs/>
          <w:color w:val="0070C0"/>
          <w:vertAlign w:val="superscript"/>
          <w:lang w:val="tr-TR"/>
        </w:rPr>
        <w:t>2</w:t>
      </w:r>
      <w:r w:rsidRPr="00B009A3">
        <w:rPr>
          <w:rFonts w:ascii="Arial"/>
          <w:i/>
          <w:iCs/>
          <w:color w:val="0070C0"/>
          <w:lang w:val="tr-TR"/>
        </w:rPr>
        <w:t xml:space="preserve"> , PhD.Erdal B</w:t>
      </w:r>
      <w:r w:rsidRPr="00B009A3">
        <w:rPr>
          <w:rFonts w:ascii="Arial"/>
          <w:i/>
          <w:iCs/>
          <w:color w:val="0070C0"/>
          <w:vertAlign w:val="superscript"/>
          <w:lang w:val="tr-TR"/>
        </w:rPr>
        <w:t>3</w:t>
      </w:r>
      <w:r w:rsidRPr="00B009A3">
        <w:rPr>
          <w:rFonts w:ascii="Arial"/>
          <w:i/>
          <w:iCs/>
          <w:color w:val="0070C0"/>
          <w:lang w:val="tr-TR"/>
        </w:rPr>
        <w:t xml:space="preserve"> PhD.Bilgen T</w:t>
      </w:r>
      <w:r w:rsidRPr="00B009A3">
        <w:rPr>
          <w:rFonts w:ascii="Arial"/>
          <w:i/>
          <w:iCs/>
          <w:color w:val="0070C0"/>
          <w:vertAlign w:val="superscript"/>
          <w:lang w:val="tr-TR"/>
        </w:rPr>
        <w:t>4</w:t>
      </w:r>
      <w:r w:rsidRPr="00B009A3">
        <w:rPr>
          <w:rFonts w:ascii="Arial"/>
          <w:i/>
          <w:iCs/>
          <w:color w:val="0070C0"/>
          <w:lang w:val="tr-TR"/>
        </w:rPr>
        <w:t xml:space="preserve"> , PhD.Batar B</w:t>
      </w:r>
      <w:r w:rsidRPr="00B009A3">
        <w:rPr>
          <w:rFonts w:ascii="Arial"/>
          <w:i/>
          <w:iCs/>
          <w:color w:val="0070C0"/>
          <w:vertAlign w:val="superscript"/>
          <w:lang w:val="tr-TR"/>
        </w:rPr>
        <w:t>5</w:t>
      </w:r>
      <w:r w:rsidRPr="00B009A3">
        <w:rPr>
          <w:rFonts w:ascii="Arial"/>
          <w:i/>
          <w:iCs/>
          <w:color w:val="0070C0"/>
          <w:lang w:val="tr-TR"/>
        </w:rPr>
        <w:t>, MD.Alt</w:t>
      </w:r>
      <w:r w:rsidRPr="00B009A3">
        <w:rPr>
          <w:rFonts w:ascii="Arial"/>
          <w:i/>
          <w:iCs/>
          <w:color w:val="0070C0"/>
          <w:lang w:val="tr-TR"/>
        </w:rPr>
        <w:t>ı</w:t>
      </w:r>
      <w:r w:rsidRPr="00B009A3">
        <w:rPr>
          <w:rFonts w:ascii="Arial"/>
          <w:i/>
          <w:iCs/>
          <w:color w:val="0070C0"/>
          <w:lang w:val="tr-TR"/>
        </w:rPr>
        <w:t>nda</w:t>
      </w:r>
      <w:r w:rsidRPr="00B009A3">
        <w:rPr>
          <w:rFonts w:ascii="Calibri" w:hAnsi="Calibri" w:cs="Calibri"/>
          <w:i/>
          <w:iCs/>
          <w:color w:val="0070C0"/>
          <w:lang w:val="tr-TR"/>
        </w:rPr>
        <w:t>ğ</w:t>
      </w:r>
      <w:r w:rsidRPr="00B009A3">
        <w:rPr>
          <w:rFonts w:ascii="Arial"/>
          <w:i/>
          <w:iCs/>
          <w:color w:val="0070C0"/>
          <w:lang w:val="tr-TR"/>
        </w:rPr>
        <w:t xml:space="preserve"> Avc</w:t>
      </w:r>
      <w:r w:rsidRPr="00B009A3">
        <w:rPr>
          <w:rFonts w:ascii="Arial"/>
          <w:i/>
          <w:iCs/>
          <w:color w:val="0070C0"/>
          <w:lang w:val="tr-TR"/>
        </w:rPr>
        <w:t>ı</w:t>
      </w:r>
      <w:r w:rsidRPr="00B009A3">
        <w:rPr>
          <w:rFonts w:ascii="Arial"/>
          <w:i/>
          <w:iCs/>
          <w:color w:val="0070C0"/>
          <w:lang w:val="tr-TR"/>
        </w:rPr>
        <w:t xml:space="preserve"> B</w:t>
      </w:r>
      <w:r w:rsidRPr="00B009A3">
        <w:rPr>
          <w:rFonts w:ascii="Arial"/>
          <w:i/>
          <w:iCs/>
          <w:color w:val="0070C0"/>
          <w:vertAlign w:val="superscript"/>
          <w:lang w:val="tr-TR"/>
        </w:rPr>
        <w:t xml:space="preserve">6 </w:t>
      </w:r>
      <w:r w:rsidRPr="00B009A3">
        <w:rPr>
          <w:rFonts w:ascii="Arial"/>
          <w:i/>
          <w:iCs/>
          <w:color w:val="0070C0"/>
          <w:lang w:val="tr-TR"/>
        </w:rPr>
        <w:t>MD.Turgut B</w:t>
      </w:r>
      <w:r w:rsidRPr="00B009A3">
        <w:rPr>
          <w:rFonts w:ascii="Arial"/>
          <w:i/>
          <w:iCs/>
          <w:color w:val="0070C0"/>
          <w:vertAlign w:val="superscript"/>
          <w:lang w:val="tr-TR"/>
        </w:rPr>
        <w:t>6</w:t>
      </w:r>
    </w:p>
    <w:p w14:paraId="470C83C3" w14:textId="111B0B61" w:rsidR="00AE3E37" w:rsidRPr="00B80C25" w:rsidRDefault="00B1236F" w:rsidP="00B009A3">
      <w:pPr>
        <w:pStyle w:val="GvdeMetni"/>
        <w:spacing w:before="73" w:line="276" w:lineRule="auto"/>
        <w:ind w:right="-83"/>
        <w:rPr>
          <w:rFonts w:ascii="Arial"/>
          <w:i/>
          <w:iCs/>
          <w:color w:val="0070C0"/>
          <w:sz w:val="16"/>
          <w:szCs w:val="16"/>
          <w:lang w:val="tr-TR"/>
        </w:rPr>
        <w:sectPr w:rsidR="00AE3E37" w:rsidRPr="00B80C25" w:rsidSect="008E5477">
          <w:footerReference w:type="default" r:id="rId7"/>
          <w:type w:val="continuous"/>
          <w:pgSz w:w="11910" w:h="16840"/>
          <w:pgMar w:top="995" w:right="600" w:bottom="840" w:left="620" w:header="0" w:footer="0" w:gutter="0"/>
          <w:cols w:space="720"/>
          <w:docGrid w:linePitch="299"/>
        </w:sectPr>
      </w:pPr>
      <w:r w:rsidRPr="00B80C25">
        <w:rPr>
          <w:rFonts w:ascii="Arial"/>
          <w:sz w:val="16"/>
          <w:szCs w:val="16"/>
        </w:rPr>
        <w:t>1. Baskent University, Faculty of Medicine, Hematology Department Istanbul2. Nam</w:t>
      </w:r>
      <w:r w:rsidR="00B80C25" w:rsidRPr="00B80C25">
        <w:rPr>
          <w:rFonts w:ascii="Arial"/>
          <w:sz w:val="16"/>
          <w:szCs w:val="16"/>
        </w:rPr>
        <w:t>i</w:t>
      </w:r>
      <w:r w:rsidRPr="00B80C25">
        <w:rPr>
          <w:rFonts w:ascii="Arial"/>
          <w:sz w:val="16"/>
          <w:szCs w:val="16"/>
        </w:rPr>
        <w:t>k Kemal University, Faculty of Veterinary Medicine, Virology Department Tekirda</w:t>
      </w:r>
      <w:r w:rsidR="00B80C25" w:rsidRPr="00B80C25">
        <w:rPr>
          <w:rFonts w:ascii="Calibri" w:hAnsi="Calibri" w:cs="Calibri"/>
          <w:sz w:val="16"/>
          <w:szCs w:val="16"/>
        </w:rPr>
        <w:t xml:space="preserve">ğ </w:t>
      </w:r>
      <w:r w:rsidRPr="00B80C25">
        <w:rPr>
          <w:rFonts w:ascii="Arial"/>
          <w:sz w:val="16"/>
          <w:szCs w:val="16"/>
        </w:rPr>
        <w:t>3. Nam</w:t>
      </w:r>
      <w:r w:rsidRPr="00B80C25">
        <w:rPr>
          <w:rFonts w:ascii="Arial"/>
          <w:sz w:val="16"/>
          <w:szCs w:val="16"/>
        </w:rPr>
        <w:t>ı</w:t>
      </w:r>
      <w:r w:rsidRPr="00B80C25">
        <w:rPr>
          <w:rFonts w:ascii="Arial"/>
          <w:sz w:val="16"/>
          <w:szCs w:val="16"/>
        </w:rPr>
        <w:t>k Kemal University, Faculty of Medicine, Microbiology Department Tekirdag</w:t>
      </w:r>
      <w:r w:rsidR="00B80C25" w:rsidRPr="00B80C25">
        <w:rPr>
          <w:rFonts w:ascii="Arial"/>
          <w:sz w:val="16"/>
          <w:szCs w:val="16"/>
        </w:rPr>
        <w:t xml:space="preserve"> </w:t>
      </w:r>
      <w:r w:rsidRPr="00B80C25">
        <w:rPr>
          <w:rFonts w:ascii="Arial"/>
          <w:sz w:val="16"/>
          <w:szCs w:val="16"/>
        </w:rPr>
        <w:t>4. Nam</w:t>
      </w:r>
      <w:r w:rsidR="00B80C25" w:rsidRPr="00B80C25">
        <w:rPr>
          <w:rFonts w:ascii="Arial"/>
          <w:sz w:val="16"/>
          <w:szCs w:val="16"/>
        </w:rPr>
        <w:t>i</w:t>
      </w:r>
      <w:r w:rsidRPr="00B80C25">
        <w:rPr>
          <w:rFonts w:ascii="Arial"/>
          <w:sz w:val="16"/>
          <w:szCs w:val="16"/>
        </w:rPr>
        <w:t>k Kemal University, Department of Nutrition and Dietetics Tekirdag</w:t>
      </w:r>
      <w:r w:rsidR="00B80C25" w:rsidRPr="00B80C25">
        <w:rPr>
          <w:rFonts w:ascii="Arial"/>
          <w:sz w:val="16"/>
          <w:szCs w:val="16"/>
        </w:rPr>
        <w:t xml:space="preserve"> </w:t>
      </w:r>
      <w:r w:rsidRPr="00B80C25">
        <w:rPr>
          <w:rFonts w:ascii="Arial"/>
          <w:sz w:val="16"/>
          <w:szCs w:val="16"/>
        </w:rPr>
        <w:t>5- Nam</w:t>
      </w:r>
      <w:r w:rsidR="00B80C25" w:rsidRPr="00B80C25">
        <w:rPr>
          <w:rFonts w:ascii="Arial"/>
          <w:sz w:val="16"/>
          <w:szCs w:val="16"/>
        </w:rPr>
        <w:t>i</w:t>
      </w:r>
      <w:r w:rsidRPr="00B80C25">
        <w:rPr>
          <w:rFonts w:ascii="Arial"/>
          <w:sz w:val="16"/>
          <w:szCs w:val="16"/>
        </w:rPr>
        <w:t>k Kemal University, Faculty of Medicine, Genetic Department Tekirdag</w:t>
      </w:r>
      <w:r w:rsidR="00B80C25" w:rsidRPr="00B80C25">
        <w:rPr>
          <w:rFonts w:ascii="Arial"/>
          <w:sz w:val="16"/>
          <w:szCs w:val="16"/>
        </w:rPr>
        <w:t xml:space="preserve"> </w:t>
      </w:r>
      <w:r w:rsidRPr="00B80C25">
        <w:rPr>
          <w:rFonts w:ascii="Arial"/>
          <w:sz w:val="16"/>
          <w:szCs w:val="16"/>
        </w:rPr>
        <w:t>6. Nam</w:t>
      </w:r>
      <w:r w:rsidRPr="00B80C25">
        <w:rPr>
          <w:rFonts w:ascii="Arial"/>
          <w:sz w:val="16"/>
          <w:szCs w:val="16"/>
        </w:rPr>
        <w:t>ı</w:t>
      </w:r>
      <w:r w:rsidRPr="00B80C25">
        <w:rPr>
          <w:rFonts w:ascii="Arial"/>
          <w:sz w:val="16"/>
          <w:szCs w:val="16"/>
        </w:rPr>
        <w:t>k Kemal University, Faculty of Medicine, Hematology Department Tekirdag</w:t>
      </w:r>
    </w:p>
    <w:bookmarkEnd w:id="0"/>
    <w:p w14:paraId="62698594" w14:textId="77777777" w:rsidR="00B1236F" w:rsidRDefault="00B1236F" w:rsidP="00B1236F">
      <w:pPr>
        <w:pStyle w:val="Balk3"/>
        <w:spacing w:before="74"/>
        <w:jc w:val="both"/>
        <w:rPr>
          <w:bCs w:val="0"/>
          <w:sz w:val="18"/>
          <w:szCs w:val="18"/>
        </w:rPr>
      </w:pPr>
    </w:p>
    <w:p w14:paraId="05AB1C7C" w14:textId="2DC84432" w:rsidR="00B009A3" w:rsidRPr="00B009A3" w:rsidRDefault="00B1236F" w:rsidP="00B009A3">
      <w:pPr>
        <w:pStyle w:val="Balk3"/>
        <w:spacing w:before="74"/>
        <w:jc w:val="both"/>
        <w:rPr>
          <w:b w:val="0"/>
          <w:sz w:val="18"/>
          <w:szCs w:val="18"/>
        </w:rPr>
      </w:pPr>
      <w:bookmarkStart w:id="1" w:name="_Hlk118933144"/>
      <w:r w:rsidRPr="00B1236F">
        <w:rPr>
          <w:bCs w:val="0"/>
          <w:sz w:val="18"/>
          <w:szCs w:val="18"/>
        </w:rPr>
        <w:t>İntroduction</w:t>
      </w:r>
      <w:r>
        <w:rPr>
          <w:b w:val="0"/>
          <w:sz w:val="18"/>
          <w:szCs w:val="18"/>
        </w:rPr>
        <w:t>:</w:t>
      </w:r>
      <w:r w:rsidRPr="00B1236F">
        <w:rPr>
          <w:b w:val="0"/>
          <w:sz w:val="18"/>
          <w:szCs w:val="18"/>
        </w:rPr>
        <w:t xml:space="preserve"> Multiple Myeloma (MM) is a malignant disease of plasma cells. Oncolytic viruses do not infect healthy cells , cause selective death of cancer cells.. MYXV is more effective in its oncolytic capacity and seems to have minimal adverse effects. It has been proven in vitro that MYXV cause apoptozis in malign plasma cells .it was aimed to investigate both the oncolytic effect of MYXV and its effect with drug combinations in patient-derived MM cells.</w:t>
      </w:r>
      <w:r w:rsidRPr="00B1236F">
        <w:rPr>
          <w:bCs w:val="0"/>
          <w:sz w:val="18"/>
          <w:szCs w:val="18"/>
        </w:rPr>
        <w:t>Methodology</w:t>
      </w:r>
      <w:r w:rsidRPr="00B1236F">
        <w:rPr>
          <w:b w:val="0"/>
          <w:sz w:val="18"/>
          <w:szCs w:val="18"/>
        </w:rPr>
        <w:t xml:space="preserve"> </w:t>
      </w:r>
      <w:r>
        <w:rPr>
          <w:b w:val="0"/>
          <w:sz w:val="18"/>
          <w:szCs w:val="18"/>
        </w:rPr>
        <w:t>:</w:t>
      </w:r>
      <w:r w:rsidRPr="00B1236F">
        <w:rPr>
          <w:b w:val="0"/>
          <w:sz w:val="18"/>
          <w:szCs w:val="18"/>
        </w:rPr>
        <w:t xml:space="preserve">In the study, two commercially different MM cell lines and cultures prepared from a total of 30 patients with newly diagnosed MM (n=15) and relapsed refractory MM (n=15) specimens will be prepared from bone marrow samples of patients. Patient-derived primary MM cell and MOPC-315, U266 cell lines were used. In infecting MM cells with MYXV at different doses, and in differing combinations of PZI/IMID drugs; cell viability was assessed using WST-1 test and apoptosis analysis was assessed using flow cytometry techniques. </w:t>
      </w:r>
      <w:r w:rsidRPr="00B1236F">
        <w:rPr>
          <w:bCs w:val="0"/>
          <w:sz w:val="18"/>
          <w:szCs w:val="18"/>
        </w:rPr>
        <w:t>Finding</w:t>
      </w:r>
      <w:r>
        <w:rPr>
          <w:b w:val="0"/>
          <w:sz w:val="18"/>
          <w:szCs w:val="18"/>
        </w:rPr>
        <w:t>:</w:t>
      </w:r>
      <w:r w:rsidRPr="00B1236F">
        <w:rPr>
          <w:b w:val="0"/>
          <w:sz w:val="18"/>
          <w:szCs w:val="18"/>
        </w:rPr>
        <w:t>it was observed that MYXV infects cells with different titers (5,10, 20 and  50 moi) both in patient and continuous cell lines. The increase in virus quantity was linearly correlated with the number of cells infected and with the degree of cytotoxicity..In trials of the virus with drug combinations, apoptosis was detected in flow cytometry with Annexin-V.it was noted that apoptotic cell rates were highest with the triple drug combination.</w:t>
      </w:r>
      <w:r>
        <w:rPr>
          <w:b w:val="0"/>
          <w:sz w:val="18"/>
          <w:szCs w:val="18"/>
        </w:rPr>
        <w:t xml:space="preserve"> </w:t>
      </w:r>
      <w:r w:rsidRPr="00B1236F">
        <w:rPr>
          <w:bCs w:val="0"/>
          <w:sz w:val="18"/>
          <w:szCs w:val="18"/>
        </w:rPr>
        <w:t>Conclusion</w:t>
      </w:r>
      <w:r>
        <w:rPr>
          <w:bCs w:val="0"/>
          <w:sz w:val="18"/>
          <w:szCs w:val="18"/>
        </w:rPr>
        <w:t>:</w:t>
      </w:r>
      <w:r w:rsidRPr="00B1236F">
        <w:rPr>
          <w:b w:val="0"/>
          <w:sz w:val="18"/>
          <w:szCs w:val="18"/>
        </w:rPr>
        <w:t>The oncolytic effect of MYXV was demonstrated in MM cell cultures of patients .Cellular cytotoxicity varied based on the amount of the virus. In trials with drug combinations used in the routine treatment of MM, it was noted that  addition of the virus increased apoptotic changes. This finding suggests that the use of this particular oncolytic virus in routine treatment protocols, especially in these patients, may reduce the amount of medication.</w:t>
      </w:r>
      <w:r w:rsidR="00B009A3" w:rsidRPr="00B009A3">
        <w:t xml:space="preserve"> </w:t>
      </w:r>
    </w:p>
    <w:bookmarkEnd w:id="1"/>
    <w:p w14:paraId="643ED9CD" w14:textId="5D619E92" w:rsidR="00B1236F" w:rsidRPr="00B009A3" w:rsidRDefault="00B80C25" w:rsidP="00B009A3">
      <w:pPr>
        <w:pStyle w:val="Balk3"/>
        <w:spacing w:before="74"/>
        <w:jc w:val="both"/>
        <w:rPr>
          <w:b w:val="0"/>
          <w:i/>
          <w:iCs/>
          <w:sz w:val="18"/>
          <w:szCs w:val="18"/>
        </w:rPr>
      </w:pPr>
      <w:r>
        <w:rPr>
          <w:b w:val="0"/>
          <w:i/>
          <w:iCs/>
          <w:sz w:val="18"/>
          <w:szCs w:val="18"/>
        </w:rPr>
        <w:t>İmage:</w:t>
      </w:r>
      <w:r w:rsidR="00B009A3" w:rsidRPr="00B009A3">
        <w:rPr>
          <w:b w:val="0"/>
          <w:i/>
          <w:iCs/>
          <w:sz w:val="18"/>
          <w:szCs w:val="18"/>
        </w:rPr>
        <w:t>Schematic map of the vector to be used in the hTERT immobilization protocol</w:t>
      </w:r>
    </w:p>
    <w:p w14:paraId="02294666" w14:textId="4767FFC6" w:rsidR="00B009A3" w:rsidRDefault="00B009A3" w:rsidP="00B009A3">
      <w:pPr>
        <w:pStyle w:val="Balk3"/>
        <w:spacing w:before="74"/>
        <w:jc w:val="both"/>
        <w:rPr>
          <w:b w:val="0"/>
          <w:sz w:val="18"/>
          <w:szCs w:val="18"/>
        </w:rPr>
      </w:pPr>
    </w:p>
    <w:p w14:paraId="7BCC2E31" w14:textId="6314F55A" w:rsidR="00B009A3" w:rsidRDefault="00B009A3" w:rsidP="00B009A3">
      <w:pPr>
        <w:pStyle w:val="Balk3"/>
        <w:spacing w:before="74"/>
        <w:jc w:val="both"/>
        <w:rPr>
          <w:b w:val="0"/>
          <w:sz w:val="18"/>
          <w:szCs w:val="18"/>
        </w:rPr>
      </w:pPr>
    </w:p>
    <w:p w14:paraId="1E459FA3" w14:textId="24F8D268" w:rsidR="00B80C25" w:rsidRDefault="00B009A3" w:rsidP="00B009A3">
      <w:pPr>
        <w:pStyle w:val="Balk3"/>
        <w:spacing w:before="74"/>
        <w:ind w:left="-284"/>
        <w:rPr>
          <w:b w:val="0"/>
          <w:sz w:val="18"/>
          <w:szCs w:val="18"/>
        </w:rPr>
      </w:pPr>
      <w:r>
        <w:rPr>
          <w:b w:val="0"/>
          <w:sz w:val="18"/>
          <w:szCs w:val="18"/>
        </w:rPr>
        <w:t xml:space="preserve">R   </w:t>
      </w:r>
      <w:r w:rsidR="00B80C25">
        <w:rPr>
          <w:b w:val="0"/>
          <w:noProof/>
          <w:sz w:val="18"/>
          <w:szCs w:val="18"/>
        </w:rPr>
        <w:drawing>
          <wp:inline distT="0" distB="0" distL="0" distR="0" wp14:anchorId="1F7E7DD3" wp14:editId="62EC795D">
            <wp:extent cx="3627120" cy="2627630"/>
            <wp:effectExtent l="0" t="0" r="0" b="127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27120" cy="2627630"/>
                    </a:xfrm>
                    <a:prstGeom prst="rect">
                      <a:avLst/>
                    </a:prstGeom>
                    <a:noFill/>
                  </pic:spPr>
                </pic:pic>
              </a:graphicData>
            </a:graphic>
          </wp:inline>
        </w:drawing>
      </w:r>
    </w:p>
    <w:p w14:paraId="4AC37D2F" w14:textId="77777777" w:rsidR="00B80C25" w:rsidRDefault="00B80C25" w:rsidP="00B009A3">
      <w:pPr>
        <w:pStyle w:val="Balk3"/>
        <w:spacing w:before="74"/>
        <w:ind w:left="-284"/>
        <w:rPr>
          <w:b w:val="0"/>
          <w:sz w:val="18"/>
          <w:szCs w:val="18"/>
        </w:rPr>
      </w:pPr>
    </w:p>
    <w:p w14:paraId="5422ABE7" w14:textId="7179C594" w:rsidR="005973B9" w:rsidRPr="00B009A3" w:rsidRDefault="005973B9" w:rsidP="00B80C25">
      <w:pPr>
        <w:pStyle w:val="Balk3"/>
        <w:spacing w:before="74"/>
        <w:ind w:left="0"/>
        <w:rPr>
          <w:b w:val="0"/>
          <w:sz w:val="18"/>
          <w:szCs w:val="18"/>
        </w:rPr>
      </w:pPr>
      <w:r>
        <w:rPr>
          <w:color w:val="BF5A14"/>
        </w:rPr>
        <w:t>Publications</w:t>
      </w:r>
      <w:r w:rsidR="00B1236F">
        <w:rPr>
          <w:b w:val="0"/>
          <w:color w:val="BF5A14"/>
        </w:rPr>
        <w:t>:</w:t>
      </w:r>
    </w:p>
    <w:p w14:paraId="51E0C484" w14:textId="77777777" w:rsidR="00B1236F" w:rsidRDefault="00B1236F" w:rsidP="005973B9">
      <w:pPr>
        <w:spacing w:line="204" w:lineRule="exact"/>
        <w:rPr>
          <w:rFonts w:ascii="Arial"/>
          <w:b/>
          <w:sz w:val="20"/>
        </w:rPr>
      </w:pPr>
    </w:p>
    <w:p w14:paraId="689A1E69" w14:textId="3347A7B0" w:rsidR="00B1236F" w:rsidRPr="00B1236F" w:rsidRDefault="00B1236F" w:rsidP="00B1236F">
      <w:pPr>
        <w:spacing w:line="200" w:lineRule="exact"/>
        <w:jc w:val="both"/>
        <w:rPr>
          <w:rFonts w:ascii="Arial" w:hAnsi="Arial" w:cs="Arial"/>
          <w:sz w:val="18"/>
          <w:szCs w:val="18"/>
        </w:rPr>
      </w:pPr>
      <w:r w:rsidRPr="00B1236F">
        <w:rPr>
          <w:rFonts w:ascii="Arial" w:hAnsi="Arial" w:cs="Arial"/>
          <w:sz w:val="18"/>
          <w:szCs w:val="18"/>
        </w:rPr>
        <w:t xml:space="preserve">1.Bartee, E. 2009/a. “Human cancer cells have specifically lost the ability to induce the synergistic state caused by tumor necrosis factor plus interferon-beta”, Cytokine, 47(3), 199–205. </w:t>
      </w:r>
    </w:p>
    <w:p w14:paraId="7B8D93A8" w14:textId="77777777" w:rsidR="00B1236F" w:rsidRPr="00B1236F" w:rsidRDefault="00B1236F" w:rsidP="00B1236F">
      <w:pPr>
        <w:spacing w:line="200" w:lineRule="exact"/>
        <w:jc w:val="both"/>
        <w:rPr>
          <w:rFonts w:ascii="Arial" w:hAnsi="Arial" w:cs="Arial"/>
          <w:sz w:val="18"/>
          <w:szCs w:val="18"/>
        </w:rPr>
      </w:pPr>
      <w:r w:rsidRPr="00B1236F">
        <w:rPr>
          <w:rFonts w:ascii="Arial" w:hAnsi="Arial" w:cs="Arial"/>
          <w:sz w:val="18"/>
          <w:szCs w:val="18"/>
        </w:rPr>
        <w:t>2.Bartee, E. 2009/b. “The addition of tumor necrosis factor plus beta interferon induces a novel synergistic antiviral state against poxviruses in primary human fibroblasts”, Journal Of Vırology, 83(2), 498–511.</w:t>
      </w:r>
    </w:p>
    <w:p w14:paraId="01669B5B" w14:textId="77777777" w:rsidR="00B1236F" w:rsidRPr="00B1236F" w:rsidRDefault="00B1236F" w:rsidP="00B1236F">
      <w:pPr>
        <w:spacing w:line="200" w:lineRule="exact"/>
        <w:jc w:val="both"/>
        <w:rPr>
          <w:rFonts w:ascii="Arial" w:hAnsi="Arial" w:cs="Arial"/>
          <w:sz w:val="18"/>
          <w:szCs w:val="18"/>
        </w:rPr>
      </w:pPr>
      <w:r w:rsidRPr="00B1236F">
        <w:rPr>
          <w:rFonts w:ascii="Arial" w:hAnsi="Arial" w:cs="Arial"/>
          <w:sz w:val="18"/>
          <w:szCs w:val="18"/>
        </w:rPr>
        <w:t>3.Bartee, E. 2012. “Selective Purging of Human Multiple Myeloma Cells from Autologous Stem Cell Transplantation Grafts using Oncolytic Myxoma Virus, Biol Blood Marrow Transplant”, 18, 1540–51.</w:t>
      </w:r>
    </w:p>
    <w:p w14:paraId="5862A755" w14:textId="77777777" w:rsidR="00B1236F" w:rsidRPr="00B1236F" w:rsidRDefault="00B1236F" w:rsidP="00B1236F">
      <w:pPr>
        <w:spacing w:line="200" w:lineRule="exact"/>
        <w:jc w:val="both"/>
        <w:rPr>
          <w:rFonts w:ascii="Arial" w:hAnsi="Arial" w:cs="Arial"/>
          <w:sz w:val="18"/>
          <w:szCs w:val="18"/>
        </w:rPr>
      </w:pPr>
      <w:r w:rsidRPr="00B1236F">
        <w:rPr>
          <w:rFonts w:ascii="Arial" w:hAnsi="Arial" w:cs="Arial"/>
          <w:sz w:val="18"/>
          <w:szCs w:val="18"/>
        </w:rPr>
        <w:t>4.Chan, WM. 2013. “Oncolytic myxoma virus: the path to clinic”, Vaccine, 31(39), 4252-4258</w:t>
      </w:r>
    </w:p>
    <w:p w14:paraId="5BBA4756" w14:textId="77777777" w:rsidR="00B1236F" w:rsidRPr="00B1236F" w:rsidRDefault="00B1236F" w:rsidP="00B1236F">
      <w:pPr>
        <w:spacing w:line="200" w:lineRule="exact"/>
        <w:jc w:val="both"/>
        <w:rPr>
          <w:rFonts w:ascii="Arial" w:hAnsi="Arial" w:cs="Arial"/>
          <w:sz w:val="18"/>
          <w:szCs w:val="18"/>
        </w:rPr>
      </w:pPr>
      <w:r w:rsidRPr="00B1236F">
        <w:rPr>
          <w:rFonts w:ascii="Arial" w:hAnsi="Arial" w:cs="Arial"/>
          <w:sz w:val="18"/>
          <w:szCs w:val="18"/>
        </w:rPr>
        <w:t>5.Christos, F., Sukeshi, P. 2017. “Review: Oncolytic virotherapy, updates and future directions”, Oncotarget, 8, 102617-102639.</w:t>
      </w:r>
    </w:p>
    <w:p w14:paraId="144FA348" w14:textId="77777777" w:rsidR="00B1236F" w:rsidRPr="00B1236F" w:rsidRDefault="00B1236F" w:rsidP="00B1236F">
      <w:pPr>
        <w:spacing w:line="200" w:lineRule="exact"/>
        <w:jc w:val="both"/>
        <w:rPr>
          <w:rFonts w:ascii="Arial" w:hAnsi="Arial" w:cs="Arial"/>
          <w:sz w:val="18"/>
          <w:szCs w:val="18"/>
        </w:rPr>
      </w:pPr>
      <w:r w:rsidRPr="00B1236F">
        <w:rPr>
          <w:rFonts w:ascii="Arial" w:hAnsi="Arial" w:cs="Arial"/>
          <w:sz w:val="18"/>
          <w:szCs w:val="18"/>
        </w:rPr>
        <w:t>6.Kim, M. 2009. “Myxoma virus targets primary human leukemic stem and progenitor cells while sparing normal hematopoietic stem and progenitor cells”, Leukemia, 23(12), 2313–2317.</w:t>
      </w:r>
    </w:p>
    <w:p w14:paraId="4E37D05B" w14:textId="77777777" w:rsidR="00B1236F" w:rsidRPr="00B1236F" w:rsidRDefault="00B1236F" w:rsidP="00B1236F">
      <w:pPr>
        <w:spacing w:line="200" w:lineRule="exact"/>
        <w:jc w:val="both"/>
        <w:rPr>
          <w:rFonts w:ascii="Arial" w:hAnsi="Arial" w:cs="Arial"/>
          <w:sz w:val="18"/>
          <w:szCs w:val="18"/>
        </w:rPr>
      </w:pPr>
      <w:r w:rsidRPr="00B1236F">
        <w:rPr>
          <w:rFonts w:ascii="Arial" w:hAnsi="Arial" w:cs="Arial"/>
          <w:sz w:val="18"/>
          <w:szCs w:val="18"/>
        </w:rPr>
        <w:t xml:space="preserve">7.Nancy, Y. 2011. “Myxoma and vaccinia virus exploit different mechanisms to enter and infect human cancer cells”, NIH Public Access Virology  </w:t>
      </w:r>
    </w:p>
    <w:p w14:paraId="4E410CAC" w14:textId="77777777" w:rsidR="00B1236F" w:rsidRPr="00B1236F" w:rsidRDefault="00B1236F" w:rsidP="00B1236F">
      <w:pPr>
        <w:spacing w:line="200" w:lineRule="exact"/>
        <w:jc w:val="both"/>
        <w:rPr>
          <w:rFonts w:ascii="Arial" w:hAnsi="Arial" w:cs="Arial"/>
          <w:sz w:val="18"/>
          <w:szCs w:val="18"/>
        </w:rPr>
      </w:pPr>
      <w:r w:rsidRPr="00B1236F">
        <w:rPr>
          <w:rFonts w:ascii="Arial" w:hAnsi="Arial" w:cs="Arial"/>
          <w:sz w:val="18"/>
          <w:szCs w:val="18"/>
        </w:rPr>
        <w:t>8.Smallwood, E. 2010. “Myxoma Virus: Propagation, Purification, Quantification, and Storage”, Curr Protoc Microbiology, Chapter: Unit–14A.1. doi:10.1002/9780471729259.mc14a01s17.</w:t>
      </w:r>
    </w:p>
    <w:p w14:paraId="3090059E" w14:textId="77777777" w:rsidR="00B1236F" w:rsidRPr="00B1236F" w:rsidRDefault="00B1236F" w:rsidP="00B1236F">
      <w:pPr>
        <w:spacing w:line="200" w:lineRule="exact"/>
        <w:jc w:val="both"/>
        <w:rPr>
          <w:rFonts w:ascii="Arial" w:hAnsi="Arial" w:cs="Arial"/>
          <w:sz w:val="18"/>
          <w:szCs w:val="18"/>
        </w:rPr>
      </w:pPr>
      <w:r w:rsidRPr="00B1236F">
        <w:rPr>
          <w:rFonts w:ascii="Arial" w:hAnsi="Arial" w:cs="Arial"/>
          <w:sz w:val="18"/>
          <w:szCs w:val="18"/>
        </w:rPr>
        <w:t>9.Sypula, J. 2004. “Myxoma virus tropism in human tumor cells”, Gene therapy and Molecular biology, (8), 103–14.</w:t>
      </w:r>
    </w:p>
    <w:p w14:paraId="1CBF20F1" w14:textId="68FF3996" w:rsidR="00AE3E37" w:rsidRDefault="00B1236F" w:rsidP="00B1236F">
      <w:pPr>
        <w:spacing w:line="200" w:lineRule="exact"/>
        <w:jc w:val="both"/>
        <w:rPr>
          <w:rFonts w:ascii="Arial" w:hAnsi="Arial" w:cs="Arial"/>
          <w:sz w:val="18"/>
          <w:szCs w:val="18"/>
        </w:rPr>
      </w:pPr>
      <w:r w:rsidRPr="00B1236F">
        <w:rPr>
          <w:rFonts w:ascii="Arial" w:hAnsi="Arial" w:cs="Arial"/>
          <w:sz w:val="18"/>
          <w:szCs w:val="18"/>
        </w:rPr>
        <w:t>10.Villa, NY. 2010. “Myxoma and vaccinia viruses exploit different mechanisms to enter and infect human</w:t>
      </w:r>
    </w:p>
    <w:p w14:paraId="5AB009ED" w14:textId="77777777" w:rsidR="00B009A3" w:rsidRDefault="00B009A3" w:rsidP="00B1236F">
      <w:pPr>
        <w:spacing w:line="200" w:lineRule="exact"/>
        <w:jc w:val="both"/>
        <w:rPr>
          <w:rFonts w:ascii="Arial" w:hAnsi="Arial" w:cs="Arial"/>
          <w:sz w:val="18"/>
          <w:szCs w:val="18"/>
        </w:rPr>
      </w:pPr>
    </w:p>
    <w:p w14:paraId="0B8F2150" w14:textId="77777777" w:rsidR="00B009A3" w:rsidRDefault="00B009A3" w:rsidP="00B1236F">
      <w:pPr>
        <w:spacing w:line="200" w:lineRule="exact"/>
        <w:jc w:val="both"/>
        <w:rPr>
          <w:rFonts w:ascii="Arial" w:hAnsi="Arial" w:cs="Arial"/>
          <w:sz w:val="18"/>
          <w:szCs w:val="18"/>
        </w:rPr>
      </w:pPr>
    </w:p>
    <w:p w14:paraId="4A0536D1" w14:textId="58C7958F" w:rsidR="00B80C25" w:rsidRPr="00B80C25" w:rsidRDefault="00B80C25" w:rsidP="00B80C25">
      <w:pPr>
        <w:spacing w:line="200" w:lineRule="exact"/>
        <w:jc w:val="both"/>
        <w:rPr>
          <w:rFonts w:ascii="Arial" w:hAnsi="Arial" w:cs="Arial"/>
          <w:sz w:val="18"/>
          <w:szCs w:val="18"/>
        </w:rPr>
      </w:pPr>
      <w:r>
        <w:rPr>
          <w:rFonts w:ascii="Arial" w:hAnsi="Arial" w:cs="Arial"/>
          <w:sz w:val="18"/>
          <w:szCs w:val="18"/>
        </w:rPr>
        <w:t xml:space="preserve">     </w:t>
      </w:r>
      <w:r w:rsidRPr="00B80C25">
        <w:rPr>
          <w:rFonts w:ascii="Arial" w:hAnsi="Arial" w:cs="Arial"/>
          <w:b/>
          <w:bCs/>
          <w:color w:val="FF0000"/>
          <w:sz w:val="18"/>
          <w:szCs w:val="18"/>
        </w:rPr>
        <w:t xml:space="preserve"> Biography</w:t>
      </w:r>
    </w:p>
    <w:p w14:paraId="1BB2C2EA" w14:textId="77777777" w:rsidR="00B009A3" w:rsidRDefault="00B80C25" w:rsidP="00B80C25">
      <w:pPr>
        <w:spacing w:line="200" w:lineRule="exact"/>
        <w:jc w:val="both"/>
        <w:rPr>
          <w:rFonts w:ascii="Arial" w:hAnsi="Arial" w:cs="Arial"/>
          <w:sz w:val="18"/>
          <w:szCs w:val="18"/>
        </w:rPr>
      </w:pPr>
      <w:r w:rsidRPr="00B80C25">
        <w:rPr>
          <w:rFonts w:ascii="Arial" w:hAnsi="Arial" w:cs="Arial"/>
          <w:sz w:val="18"/>
          <w:szCs w:val="18"/>
        </w:rPr>
        <w:t xml:space="preserve">      Alpay Yesilaltay is an Internal Diseases and Hematology specialist and  PhD in Cancer Immunology. He received his Internal Medicine and Hamatology specializations after MD certificate from Istanbul University Cerrahpaşa Faculty of Medicine. He worked at Arkansas Medical School Myeloma Institute between 2016-2017. He is responsible for the project on the Effects of Oncolytic Viruses on Myeloma, supported by TÜBİTAK within the framework of alternative treatment studies in Multiple Myeloma. Autophagic effects of Oncolytic viruses in Myeloma continue to be studied. Myeloma Cancer Stem cell, Membrane potentials in cancer cells, oncolytic viruses, Endoplasmic reticulum stress and Autophagy are of special interest.</w:t>
      </w:r>
    </w:p>
    <w:p w14:paraId="0A5C5EC1" w14:textId="77777777" w:rsidR="00B80C25" w:rsidRDefault="00B80C25" w:rsidP="00B80C25">
      <w:pPr>
        <w:spacing w:line="200" w:lineRule="exact"/>
        <w:jc w:val="both"/>
        <w:rPr>
          <w:rFonts w:ascii="Arial" w:hAnsi="Arial" w:cs="Arial"/>
          <w:sz w:val="18"/>
          <w:szCs w:val="18"/>
        </w:rPr>
      </w:pPr>
    </w:p>
    <w:p w14:paraId="1F0129EC" w14:textId="77777777" w:rsidR="00B80C25" w:rsidRDefault="00B80C25" w:rsidP="00B80C25">
      <w:pPr>
        <w:spacing w:line="200" w:lineRule="exact"/>
        <w:jc w:val="both"/>
        <w:rPr>
          <w:rFonts w:ascii="Arial" w:hAnsi="Arial" w:cs="Arial"/>
          <w:sz w:val="18"/>
          <w:szCs w:val="18"/>
        </w:rPr>
      </w:pPr>
    </w:p>
    <w:p w14:paraId="668FBBB1" w14:textId="77777777" w:rsidR="00B80C25" w:rsidRPr="00B80C25" w:rsidRDefault="00B80C25" w:rsidP="00B80C25">
      <w:pPr>
        <w:spacing w:line="200" w:lineRule="exact"/>
        <w:jc w:val="both"/>
        <w:rPr>
          <w:rFonts w:ascii="Arial" w:hAnsi="Arial" w:cs="Arial"/>
          <w:sz w:val="18"/>
          <w:szCs w:val="18"/>
        </w:rPr>
      </w:pPr>
      <w:r w:rsidRPr="00B80C25">
        <w:rPr>
          <w:rFonts w:ascii="Arial" w:hAnsi="Arial" w:cs="Arial"/>
          <w:sz w:val="18"/>
          <w:szCs w:val="18"/>
        </w:rPr>
        <w:t>Full name: Alpay Yeşilaltay MD PhD</w:t>
      </w:r>
    </w:p>
    <w:p w14:paraId="33205356" w14:textId="77777777" w:rsidR="00B80C25" w:rsidRPr="00B80C25" w:rsidRDefault="00B80C25" w:rsidP="00B80C25">
      <w:pPr>
        <w:spacing w:line="200" w:lineRule="exact"/>
        <w:jc w:val="both"/>
        <w:rPr>
          <w:rFonts w:ascii="Arial" w:hAnsi="Arial" w:cs="Arial"/>
          <w:sz w:val="18"/>
          <w:szCs w:val="18"/>
        </w:rPr>
      </w:pPr>
      <w:r w:rsidRPr="00B80C25">
        <w:rPr>
          <w:rFonts w:ascii="Arial" w:hAnsi="Arial" w:cs="Arial"/>
          <w:sz w:val="18"/>
          <w:szCs w:val="18"/>
        </w:rPr>
        <w:t>Contact number:905072404284</w:t>
      </w:r>
    </w:p>
    <w:p w14:paraId="7A29E281" w14:textId="77777777" w:rsidR="00B80C25" w:rsidRPr="00B80C25" w:rsidRDefault="00B80C25" w:rsidP="00B80C25">
      <w:pPr>
        <w:spacing w:line="200" w:lineRule="exact"/>
        <w:jc w:val="both"/>
        <w:rPr>
          <w:rFonts w:ascii="Arial" w:hAnsi="Arial" w:cs="Arial"/>
          <w:sz w:val="18"/>
          <w:szCs w:val="18"/>
        </w:rPr>
      </w:pPr>
      <w:r w:rsidRPr="00B80C25">
        <w:rPr>
          <w:rFonts w:ascii="Arial" w:hAnsi="Arial" w:cs="Arial"/>
          <w:sz w:val="18"/>
          <w:szCs w:val="18"/>
        </w:rPr>
        <w:t>e-mail:alpay.yesilaltay@hotmail.com</w:t>
      </w:r>
    </w:p>
    <w:p w14:paraId="05526E3F" w14:textId="4D31F7BF" w:rsidR="00B80C25" w:rsidRPr="00B1236F" w:rsidRDefault="00B80C25" w:rsidP="00B80C25">
      <w:pPr>
        <w:spacing w:line="200" w:lineRule="exact"/>
        <w:jc w:val="both"/>
        <w:rPr>
          <w:rFonts w:ascii="Arial" w:hAnsi="Arial" w:cs="Arial"/>
          <w:sz w:val="18"/>
          <w:szCs w:val="18"/>
        </w:rPr>
        <w:sectPr w:rsidR="00B80C25" w:rsidRPr="00B1236F" w:rsidSect="008E5477">
          <w:type w:val="continuous"/>
          <w:pgSz w:w="11910" w:h="16840"/>
          <w:pgMar w:top="995" w:right="600" w:bottom="840" w:left="620" w:header="720" w:footer="720" w:gutter="0"/>
          <w:cols w:num="2" w:space="720" w:equalWidth="0">
            <w:col w:w="5214" w:space="138"/>
            <w:col w:w="5338"/>
          </w:cols>
        </w:sectPr>
      </w:pPr>
      <w:r w:rsidRPr="00B80C25">
        <w:rPr>
          <w:rFonts w:ascii="Arial" w:hAnsi="Arial" w:cs="Arial"/>
          <w:sz w:val="18"/>
          <w:szCs w:val="18"/>
        </w:rPr>
        <w:t>Category: Oral presentation</w:t>
      </w:r>
    </w:p>
    <w:p w14:paraId="465C2C58" w14:textId="4B47E87A" w:rsidR="00AE3E37" w:rsidRDefault="00AE3E37">
      <w:pPr>
        <w:pStyle w:val="GvdeMetni"/>
        <w:rPr>
          <w:rFonts w:ascii="Arial" w:hAnsi="Arial" w:cs="Arial"/>
        </w:rPr>
      </w:pPr>
    </w:p>
    <w:p w14:paraId="20AE751A" w14:textId="5C712488" w:rsidR="00B009A3" w:rsidRDefault="00B009A3">
      <w:pPr>
        <w:pStyle w:val="GvdeMetni"/>
        <w:rPr>
          <w:rFonts w:ascii="Arial" w:hAnsi="Arial" w:cs="Arial"/>
        </w:rPr>
      </w:pPr>
    </w:p>
    <w:p w14:paraId="7B936665" w14:textId="0F8DC8D1" w:rsidR="00B009A3" w:rsidRDefault="00B009A3">
      <w:pPr>
        <w:pStyle w:val="GvdeMetni"/>
        <w:rPr>
          <w:rFonts w:ascii="Arial" w:hAnsi="Arial" w:cs="Arial"/>
        </w:rPr>
      </w:pPr>
    </w:p>
    <w:p w14:paraId="13FE18A2" w14:textId="1603AE5C" w:rsidR="00B009A3" w:rsidRDefault="00B009A3">
      <w:pPr>
        <w:pStyle w:val="GvdeMetni"/>
        <w:rPr>
          <w:rFonts w:ascii="Arial" w:hAnsi="Arial" w:cs="Arial"/>
        </w:rPr>
      </w:pPr>
    </w:p>
    <w:p w14:paraId="2644B90B" w14:textId="357BA89F" w:rsidR="00B009A3" w:rsidRDefault="00B009A3">
      <w:pPr>
        <w:pStyle w:val="GvdeMetni"/>
        <w:rPr>
          <w:rFonts w:ascii="Arial" w:hAnsi="Arial" w:cs="Arial"/>
        </w:rPr>
      </w:pPr>
    </w:p>
    <w:p w14:paraId="6400BC7E" w14:textId="0B4C1AB9" w:rsidR="00B009A3" w:rsidRDefault="00B009A3">
      <w:pPr>
        <w:pStyle w:val="GvdeMetni"/>
        <w:rPr>
          <w:rFonts w:ascii="Arial" w:hAnsi="Arial" w:cs="Arial"/>
        </w:rPr>
      </w:pPr>
    </w:p>
    <w:p w14:paraId="01A9E2BC" w14:textId="6D6BEA43" w:rsidR="00B009A3" w:rsidRDefault="00B009A3">
      <w:pPr>
        <w:pStyle w:val="GvdeMetni"/>
        <w:rPr>
          <w:rFonts w:ascii="Arial" w:hAnsi="Arial" w:cs="Arial"/>
        </w:rPr>
      </w:pPr>
    </w:p>
    <w:p w14:paraId="6006ED5F" w14:textId="04CD4396" w:rsidR="00B009A3" w:rsidRDefault="00B009A3">
      <w:pPr>
        <w:pStyle w:val="GvdeMetni"/>
        <w:rPr>
          <w:rFonts w:ascii="Arial" w:hAnsi="Arial" w:cs="Arial"/>
        </w:rPr>
      </w:pPr>
    </w:p>
    <w:p w14:paraId="51A67E73" w14:textId="7B4DDB03" w:rsidR="00B009A3" w:rsidRDefault="00B009A3">
      <w:pPr>
        <w:pStyle w:val="GvdeMetni"/>
        <w:rPr>
          <w:rFonts w:ascii="Arial" w:hAnsi="Arial" w:cs="Arial"/>
        </w:rPr>
      </w:pPr>
    </w:p>
    <w:p w14:paraId="74D80F1A" w14:textId="1FC852F5" w:rsidR="00B009A3" w:rsidRDefault="00B009A3">
      <w:pPr>
        <w:pStyle w:val="GvdeMetni"/>
        <w:rPr>
          <w:rFonts w:ascii="Arial" w:hAnsi="Arial" w:cs="Arial"/>
        </w:rPr>
      </w:pPr>
    </w:p>
    <w:p w14:paraId="632333E1" w14:textId="588A2564" w:rsidR="00B009A3" w:rsidRDefault="00B009A3">
      <w:pPr>
        <w:pStyle w:val="GvdeMetni"/>
        <w:rPr>
          <w:rFonts w:ascii="Arial" w:hAnsi="Arial" w:cs="Arial"/>
        </w:rPr>
      </w:pPr>
    </w:p>
    <w:p w14:paraId="46C94153" w14:textId="31DBD862" w:rsidR="00B009A3" w:rsidRDefault="00B009A3">
      <w:pPr>
        <w:pStyle w:val="GvdeMetni"/>
        <w:rPr>
          <w:rFonts w:ascii="Arial" w:hAnsi="Arial" w:cs="Arial"/>
        </w:rPr>
      </w:pPr>
    </w:p>
    <w:p w14:paraId="5A08E92A" w14:textId="22E5C7A0" w:rsidR="00B009A3" w:rsidRDefault="00B009A3">
      <w:pPr>
        <w:pStyle w:val="GvdeMetni"/>
        <w:rPr>
          <w:rFonts w:ascii="Arial" w:hAnsi="Arial" w:cs="Arial"/>
        </w:rPr>
      </w:pPr>
    </w:p>
    <w:p w14:paraId="64281705" w14:textId="7108091C" w:rsidR="00B009A3" w:rsidRDefault="00B009A3">
      <w:pPr>
        <w:pStyle w:val="GvdeMetni"/>
        <w:rPr>
          <w:rFonts w:ascii="Arial" w:hAnsi="Arial" w:cs="Arial"/>
        </w:rPr>
      </w:pPr>
    </w:p>
    <w:p w14:paraId="5C525F65" w14:textId="5F229901" w:rsidR="00B009A3" w:rsidRDefault="00B009A3">
      <w:pPr>
        <w:pStyle w:val="GvdeMetni"/>
        <w:rPr>
          <w:rFonts w:ascii="Arial" w:hAnsi="Arial" w:cs="Arial"/>
        </w:rPr>
      </w:pPr>
    </w:p>
    <w:p w14:paraId="4D54AA1B" w14:textId="440EB97B" w:rsidR="00B009A3" w:rsidRDefault="00B009A3">
      <w:pPr>
        <w:pStyle w:val="GvdeMetni"/>
        <w:rPr>
          <w:rFonts w:ascii="Arial" w:hAnsi="Arial" w:cs="Arial"/>
        </w:rPr>
      </w:pPr>
    </w:p>
    <w:p w14:paraId="03EE7E33" w14:textId="77777777" w:rsidR="00B009A3" w:rsidRDefault="00B009A3">
      <w:pPr>
        <w:pStyle w:val="GvdeMetni"/>
        <w:rPr>
          <w:rFonts w:ascii="Arial" w:hAnsi="Arial" w:cs="Arial"/>
        </w:rPr>
      </w:pPr>
    </w:p>
    <w:p w14:paraId="28E5901B" w14:textId="77777777" w:rsidR="00B009A3" w:rsidRPr="00B1236F" w:rsidRDefault="00B009A3">
      <w:pPr>
        <w:pStyle w:val="GvdeMetni"/>
        <w:rPr>
          <w:rFonts w:ascii="Arial" w:hAnsi="Arial" w:cs="Arial"/>
        </w:rPr>
      </w:pPr>
    </w:p>
    <w:p w14:paraId="591E146B" w14:textId="77777777" w:rsidR="00AE3E37" w:rsidRPr="00B1236F" w:rsidRDefault="00292ED9">
      <w:pPr>
        <w:pStyle w:val="GvdeMetni"/>
        <w:spacing w:line="40" w:lineRule="exact"/>
        <w:ind w:left="2202"/>
        <w:rPr>
          <w:rFonts w:ascii="Arial" w:hAnsi="Arial" w:cs="Arial"/>
        </w:rPr>
      </w:pPr>
      <w:r w:rsidRPr="00B1236F">
        <w:rPr>
          <w:rFonts w:ascii="Arial" w:hAnsi="Arial" w:cs="Arial"/>
          <w:noProof/>
        </w:rPr>
        <mc:AlternateContent>
          <mc:Choice Requires="wpg">
            <w:drawing>
              <wp:inline distT="0" distB="0" distL="0" distR="0" wp14:anchorId="7EF3235F" wp14:editId="50A0EB2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BF1FE3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2022EA6" w14:textId="77777777" w:rsidR="00AE3E37" w:rsidRPr="00B1236F" w:rsidRDefault="00A52075" w:rsidP="00404E5B">
      <w:pPr>
        <w:spacing w:before="92"/>
        <w:ind w:right="4234"/>
        <w:rPr>
          <w:rFonts w:ascii="Arial" w:hAnsi="Arial" w:cs="Arial"/>
          <w:sz w:val="18"/>
          <w:szCs w:val="18"/>
        </w:rPr>
      </w:pPr>
      <w:r w:rsidRPr="00B1236F">
        <w:rPr>
          <w:rFonts w:ascii="Arial" w:hAnsi="Arial" w:cs="Arial"/>
          <w:noProof/>
          <w:sz w:val="18"/>
          <w:szCs w:val="18"/>
        </w:rPr>
        <mc:AlternateContent>
          <mc:Choice Requires="wps">
            <w:drawing>
              <wp:anchor distT="0" distB="0" distL="114300" distR="114300" simplePos="0" relativeHeight="251660288" behindDoc="0" locked="0" layoutInCell="1" allowOverlap="1" wp14:anchorId="486AD3F8" wp14:editId="4552BAE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DCBD8B8"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86AD3F8"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3DCBD8B8"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sidRPr="00B1236F">
        <w:rPr>
          <w:rFonts w:ascii="Arial" w:hAnsi="Arial" w:cs="Arial"/>
          <w:noProof/>
          <w:sz w:val="18"/>
          <w:szCs w:val="18"/>
        </w:rPr>
        <w:t xml:space="preserve">              </w:t>
      </w:r>
      <w:r w:rsidR="008756E6" w:rsidRPr="00B1236F">
        <w:rPr>
          <w:rFonts w:ascii="Arial" w:hAnsi="Arial" w:cs="Arial"/>
          <w:noProof/>
          <w:sz w:val="18"/>
          <w:szCs w:val="18"/>
        </w:rPr>
        <w:drawing>
          <wp:inline distT="0" distB="0" distL="0" distR="0" wp14:anchorId="11D8A8F4" wp14:editId="3FD6503D">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B1236F">
        <w:rPr>
          <w:rFonts w:ascii="Arial" w:hAnsi="Arial" w:cs="Arial"/>
          <w:color w:val="BF5A14"/>
          <w:sz w:val="18"/>
          <w:szCs w:val="18"/>
        </w:rPr>
        <w:t>Biography</w:t>
      </w:r>
      <w:r w:rsidR="00404E5B" w:rsidRPr="00B1236F">
        <w:rPr>
          <w:rFonts w:ascii="Arial" w:hAnsi="Arial" w:cs="Arial"/>
          <w:color w:val="BF5A14"/>
          <w:sz w:val="18"/>
          <w:szCs w:val="18"/>
        </w:rPr>
        <w:t xml:space="preserve"> (150 word limit)</w:t>
      </w:r>
      <w:r w:rsidRPr="00B1236F">
        <w:rPr>
          <w:rFonts w:ascii="Arial" w:hAnsi="Arial" w:cs="Arial"/>
          <w:sz w:val="18"/>
          <w:szCs w:val="18"/>
        </w:rPr>
        <w:t xml:space="preserve"> </w:t>
      </w:r>
    </w:p>
    <w:p w14:paraId="58C49814" w14:textId="77777777"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14:paraId="090B2830" w14:textId="77777777" w:rsidR="00AE3E37" w:rsidRDefault="00A9710C">
      <w:pPr>
        <w:spacing w:before="62"/>
        <w:ind w:left="4217" w:right="4235"/>
        <w:jc w:val="center"/>
        <w:rPr>
          <w:rFonts w:ascii="Arial"/>
          <w:sz w:val="14"/>
        </w:rPr>
      </w:pPr>
      <w:r>
        <w:rPr>
          <w:rFonts w:ascii="Arial"/>
          <w:sz w:val="14"/>
        </w:rPr>
        <w:t xml:space="preserve">Email: </w:t>
      </w:r>
      <w:hyperlink r:id="rId10" w:history="1">
        <w:r w:rsidR="008756E6" w:rsidRPr="00616076">
          <w:rPr>
            <w:rStyle w:val="Kpr"/>
            <w:rFonts w:ascii="Arial"/>
            <w:sz w:val="14"/>
          </w:rPr>
          <w:t>drXXXXXXX@xxxmail.com</w:t>
        </w:r>
      </w:hyperlink>
    </w:p>
    <w:p w14:paraId="0C1162A7" w14:textId="77777777" w:rsidR="00AE3E37" w:rsidRDefault="00292ED9">
      <w:pPr>
        <w:pStyle w:val="GvdeMetni"/>
        <w:spacing w:before="2"/>
        <w:rPr>
          <w:rFonts w:ascii="Arial"/>
          <w:sz w:val="19"/>
        </w:rPr>
      </w:pPr>
      <w:r>
        <w:rPr>
          <w:noProof/>
        </w:rPr>
        <mc:AlternateContent>
          <mc:Choice Requires="wps">
            <w:drawing>
              <wp:anchor distT="0" distB="0" distL="0" distR="0" simplePos="0" relativeHeight="1072" behindDoc="0" locked="0" layoutInCell="1" allowOverlap="1" wp14:anchorId="1BD10576" wp14:editId="3CCB366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21DAD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12025067" w14:textId="77777777" w:rsidR="00AE3E37" w:rsidRDefault="00AE3E37">
      <w:pPr>
        <w:pStyle w:val="GvdeMetni"/>
        <w:rPr>
          <w:rFonts w:ascii="Arial"/>
          <w:sz w:val="20"/>
        </w:rPr>
      </w:pPr>
    </w:p>
    <w:p w14:paraId="7DD32793" w14:textId="77777777" w:rsidR="00AE3E37" w:rsidRDefault="00AE3E37">
      <w:pPr>
        <w:pStyle w:val="GvdeMetni"/>
        <w:rPr>
          <w:rFonts w:ascii="Arial"/>
          <w:sz w:val="20"/>
        </w:rPr>
      </w:pPr>
    </w:p>
    <w:p w14:paraId="28A24065" w14:textId="77777777" w:rsidR="00AE3E37" w:rsidRDefault="00AE3E37">
      <w:pPr>
        <w:pStyle w:val="GvdeMetni"/>
        <w:spacing w:before="7"/>
        <w:rPr>
          <w:rFonts w:ascii="Arial"/>
          <w:sz w:val="29"/>
        </w:rPr>
      </w:pPr>
    </w:p>
    <w:p w14:paraId="738D1E42" w14:textId="77777777" w:rsidR="00AE3E37" w:rsidRPr="00B21A57" w:rsidRDefault="00A9710C">
      <w:pPr>
        <w:spacing w:before="39"/>
        <w:ind w:left="100"/>
        <w:rPr>
          <w:rFonts w:ascii="Minion Pro"/>
          <w:b/>
          <w:sz w:val="20"/>
        </w:rPr>
      </w:pPr>
      <w:r w:rsidRPr="00B21A57">
        <w:rPr>
          <w:rFonts w:ascii="Minion Pro"/>
          <w:b/>
          <w:sz w:val="20"/>
        </w:rPr>
        <w:t>Notes/Comments:</w:t>
      </w:r>
    </w:p>
    <w:p w14:paraId="07CEB354" w14:textId="77777777"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14:paraId="1FC25FFB" w14:textId="77777777" w:rsidR="00F046EA" w:rsidRPr="0013708E" w:rsidRDefault="00F046EA" w:rsidP="00F046EA">
      <w:pPr>
        <w:jc w:val="both"/>
        <w:rPr>
          <w:b/>
        </w:rPr>
      </w:pPr>
      <w:r w:rsidRPr="0013708E">
        <w:rPr>
          <w:b/>
        </w:rPr>
        <w:lastRenderedPageBreak/>
        <w:t xml:space="preserve">Presenting author details </w:t>
      </w:r>
    </w:p>
    <w:p w14:paraId="7EE8D814" w14:textId="77777777" w:rsidR="00F046EA" w:rsidRPr="0013708E" w:rsidRDefault="00F046EA" w:rsidP="00F046EA">
      <w:pPr>
        <w:jc w:val="both"/>
      </w:pPr>
      <w:r w:rsidRPr="0013708E">
        <w:t xml:space="preserve">Full name: </w:t>
      </w:r>
    </w:p>
    <w:p w14:paraId="45B66470" w14:textId="77777777" w:rsidR="00F046EA" w:rsidRDefault="00F046EA" w:rsidP="00F046EA">
      <w:pPr>
        <w:jc w:val="both"/>
      </w:pPr>
      <w:r w:rsidRPr="0013708E">
        <w:t>Contact number:</w:t>
      </w:r>
    </w:p>
    <w:p w14:paraId="0137E932" w14:textId="77777777" w:rsidR="00F046EA" w:rsidRPr="0013708E" w:rsidRDefault="00F046EA" w:rsidP="00F046EA">
      <w:pPr>
        <w:jc w:val="both"/>
      </w:pPr>
      <w:r>
        <w:t xml:space="preserve">Mail id: </w:t>
      </w:r>
    </w:p>
    <w:p w14:paraId="58F9C1BC" w14:textId="77777777" w:rsidR="00F046EA" w:rsidRDefault="00F046EA" w:rsidP="00F046EA">
      <w:pPr>
        <w:jc w:val="both"/>
      </w:pPr>
      <w:r w:rsidRPr="0013708E">
        <w:t>Category: (Oral presentation/ Poster presentation)</w:t>
      </w:r>
      <w:r>
        <w:t xml:space="preserve"> </w:t>
      </w:r>
    </w:p>
    <w:p w14:paraId="008A2756" w14:textId="77777777" w:rsidR="00AE3E37" w:rsidRDefault="00AE3E37">
      <w:pPr>
        <w:pStyle w:val="GvdeMetni"/>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063A2" w14:textId="77777777" w:rsidR="00614862" w:rsidRDefault="00614862">
      <w:r>
        <w:separator/>
      </w:r>
    </w:p>
  </w:endnote>
  <w:endnote w:type="continuationSeparator" w:id="0">
    <w:p w14:paraId="6AE1E1B6" w14:textId="77777777" w:rsidR="00614862" w:rsidRDefault="00614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0002AFF" w:usb1="4000ACFF" w:usb2="00000001" w:usb3="00000000" w:csb0="000001FF" w:csb1="00000000"/>
  </w:font>
  <w:font w:name="Times New Roman">
    <w:panose1 w:val="02020603050405020304"/>
    <w:charset w:val="A2"/>
    <w:family w:val="roman"/>
    <w:pitch w:val="variable"/>
    <w:sig w:usb0="E0002AFF" w:usb1="C0007843"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Impact">
    <w:panose1 w:val="020B080603090205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E6624" w14:textId="77777777" w:rsidR="00AE3E37" w:rsidRDefault="00292ED9">
    <w:pPr>
      <w:pStyle w:val="GvdeMetni"/>
      <w:spacing w:line="14" w:lineRule="auto"/>
      <w:rPr>
        <w:sz w:val="20"/>
      </w:rPr>
    </w:pPr>
    <w:r>
      <w:rPr>
        <w:noProof/>
      </w:rPr>
      <mc:AlternateContent>
        <mc:Choice Requires="wps">
          <w:drawing>
            <wp:anchor distT="0" distB="0" distL="114300" distR="114300" simplePos="0" relativeHeight="503311928" behindDoc="1" locked="0" layoutInCell="1" allowOverlap="1" wp14:anchorId="4E740B49" wp14:editId="54E1D34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38C78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04A758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740B49"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4F38C78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04A758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6720F05" wp14:editId="10B72BA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0CD55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D60B0C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720F05"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0E0CD55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D60B0C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E13653C" wp14:editId="291FA36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A82DE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3F5222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13653C"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79A82DE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3F5222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008BD" w14:textId="77777777" w:rsidR="00614862" w:rsidRDefault="00614862">
      <w:r>
        <w:separator/>
      </w:r>
    </w:p>
  </w:footnote>
  <w:footnote w:type="continuationSeparator" w:id="0">
    <w:p w14:paraId="3702D639" w14:textId="77777777" w:rsidR="00614862" w:rsidRDefault="006148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92ED9"/>
    <w:rsid w:val="00303106"/>
    <w:rsid w:val="00351D9B"/>
    <w:rsid w:val="00380299"/>
    <w:rsid w:val="00404E5B"/>
    <w:rsid w:val="00414F7B"/>
    <w:rsid w:val="004355DC"/>
    <w:rsid w:val="004749B4"/>
    <w:rsid w:val="00494130"/>
    <w:rsid w:val="004F3523"/>
    <w:rsid w:val="005973B9"/>
    <w:rsid w:val="005B3A56"/>
    <w:rsid w:val="006060CE"/>
    <w:rsid w:val="00614862"/>
    <w:rsid w:val="0061505C"/>
    <w:rsid w:val="0063497F"/>
    <w:rsid w:val="00714354"/>
    <w:rsid w:val="00873DF0"/>
    <w:rsid w:val="008756E6"/>
    <w:rsid w:val="00897EC5"/>
    <w:rsid w:val="008B4005"/>
    <w:rsid w:val="008E5477"/>
    <w:rsid w:val="009B2D44"/>
    <w:rsid w:val="00A07E82"/>
    <w:rsid w:val="00A52075"/>
    <w:rsid w:val="00A9710C"/>
    <w:rsid w:val="00AE3E37"/>
    <w:rsid w:val="00B009A3"/>
    <w:rsid w:val="00B1236F"/>
    <w:rsid w:val="00B21A57"/>
    <w:rsid w:val="00B80C25"/>
    <w:rsid w:val="00C33602"/>
    <w:rsid w:val="00C56C74"/>
    <w:rsid w:val="00CD6F55"/>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A5E986"/>
  <w15:docId w15:val="{0A8D7062-FEDC-444E-8F17-2E7B996D9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 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 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about:blank"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900</Words>
  <Characters>5131</Characters>
  <Application>Microsoft Office Word</Application>
  <DocSecurity>0</DocSecurity>
  <Lines>42</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alpay yeşilaltay</cp:lastModifiedBy>
  <cp:revision>3</cp:revision>
  <dcterms:created xsi:type="dcterms:W3CDTF">2022-11-09T21:45:00Z</dcterms:created>
  <dcterms:modified xsi:type="dcterms:W3CDTF">2022-11-09T21:46:00Z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