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spacing w:line="384" w:lineRule="auto"/>
      </w:pPr>
      <w:r>
        <w:rPr>
          <w:color w:val="3379B7"/>
        </w:rPr>
        <w:t>Updated Loss Function for Accurate Tumor Segmentation from Breast MRIs</w:t>
      </w:r>
    </w:p>
    <w:p>
      <w:pPr>
        <w:pStyle w:val="Heading1"/>
        <w:ind w:left="627" w:right="764"/>
        <w:rPr>
          <w:rFonts w:ascii="Times New Roman"/>
          <w:sz w:val="13"/>
        </w:rPr>
      </w:pPr>
      <w:r>
        <w:rPr/>
        <w:t>Xiao-Xia Yin</w:t>
      </w:r>
      <w:r>
        <w:rPr>
          <w:rFonts w:ascii="Times New Roman"/>
          <w:position w:val="7"/>
          <w:sz w:val="13"/>
        </w:rPr>
        <w:t>a*</w:t>
      </w:r>
    </w:p>
    <w:p>
      <w:pPr>
        <w:pStyle w:val="BodyText"/>
        <w:spacing w:before="5"/>
        <w:rPr>
          <w:rFonts w:ascii="Times New Roman"/>
          <w:sz w:val="29"/>
        </w:rPr>
      </w:pPr>
    </w:p>
    <w:p>
      <w:pPr>
        <w:pStyle w:val="BodyText"/>
        <w:spacing w:line="230" w:lineRule="auto"/>
        <w:ind w:left="220" w:right="6827"/>
      </w:pPr>
      <w:r>
        <w:rPr>
          <w:rFonts w:ascii="Times New Roman"/>
          <w:i/>
          <w:position w:val="5"/>
          <w:sz w:val="10"/>
        </w:rPr>
        <w:t>a </w:t>
      </w:r>
      <w:r>
        <w:rPr/>
        <w:t>Cyberspace Institute of Advanced Technology, Guangzhou University, Guangzhou 510006, China</w:t>
      </w:r>
    </w:p>
    <w:p>
      <w:pPr>
        <w:pStyle w:val="BodyText"/>
        <w:spacing w:before="9"/>
      </w:pPr>
    </w:p>
    <w:p>
      <w:pPr>
        <w:spacing w:after="0"/>
        <w:sectPr>
          <w:type w:val="continuous"/>
          <w:pgSz w:w="11910" w:h="16840"/>
          <w:pgMar w:top="1020" w:bottom="280" w:left="500" w:right="320"/>
        </w:sectPr>
      </w:pPr>
    </w:p>
    <w:p>
      <w:pPr>
        <w:pStyle w:val="Heading2"/>
        <w:spacing w:before="165"/>
      </w:pPr>
      <w:bookmarkStart w:name="Abstract " w:id="1"/>
      <w:bookmarkEnd w:id="1"/>
      <w:r>
        <w:rPr>
          <w:b w:val="0"/>
        </w:rPr>
      </w:r>
      <w:r>
        <w:rPr>
          <w:color w:val="BE5A13"/>
        </w:rPr>
        <w:t>Abstract</w:t>
      </w:r>
    </w:p>
    <w:p>
      <w:pPr>
        <w:pStyle w:val="BodyText"/>
        <w:spacing w:line="302" w:lineRule="auto" w:before="77"/>
        <w:ind w:left="299" w:right="38"/>
        <w:jc w:val="both"/>
      </w:pPr>
      <w:r>
        <w:rPr>
          <w:w w:val="95"/>
        </w:rPr>
        <w:t>We</w:t>
      </w:r>
      <w:r>
        <w:rPr>
          <w:spacing w:val="-18"/>
          <w:w w:val="95"/>
        </w:rPr>
        <w:t> </w:t>
      </w:r>
      <w:r>
        <w:rPr>
          <w:w w:val="95"/>
        </w:rPr>
        <w:t>present</w:t>
      </w:r>
      <w:r>
        <w:rPr>
          <w:spacing w:val="-19"/>
          <w:w w:val="95"/>
        </w:rPr>
        <w:t> </w:t>
      </w:r>
      <w:r>
        <w:rPr>
          <w:w w:val="95"/>
        </w:rPr>
        <w:t>Focal</w:t>
      </w:r>
      <w:r>
        <w:rPr>
          <w:spacing w:val="-19"/>
          <w:w w:val="95"/>
        </w:rPr>
        <w:t> </w:t>
      </w:r>
      <w:r>
        <w:rPr>
          <w:w w:val="95"/>
        </w:rPr>
        <w:t>Boundary</w:t>
      </w:r>
      <w:r>
        <w:rPr>
          <w:spacing w:val="-18"/>
          <w:w w:val="95"/>
        </w:rPr>
        <w:t> </w:t>
      </w:r>
      <w:r>
        <w:rPr>
          <w:w w:val="95"/>
        </w:rPr>
        <w:t>Dice,</w:t>
      </w:r>
      <w:r>
        <w:rPr>
          <w:spacing w:val="-19"/>
          <w:w w:val="95"/>
        </w:rPr>
        <w:t> </w:t>
      </w:r>
      <w:r>
        <w:rPr>
          <w:w w:val="95"/>
        </w:rPr>
        <w:t>a</w:t>
      </w:r>
      <w:r>
        <w:rPr>
          <w:spacing w:val="-18"/>
          <w:w w:val="95"/>
        </w:rPr>
        <w:t> </w:t>
      </w:r>
      <w:r>
        <w:rPr>
          <w:w w:val="95"/>
        </w:rPr>
        <w:t>new</w:t>
      </w:r>
      <w:r>
        <w:rPr>
          <w:spacing w:val="-19"/>
          <w:w w:val="95"/>
        </w:rPr>
        <w:t> </w:t>
      </w:r>
      <w:r>
        <w:rPr>
          <w:w w:val="95"/>
        </w:rPr>
        <w:t>segmentation</w:t>
      </w:r>
      <w:r>
        <w:rPr>
          <w:spacing w:val="-19"/>
          <w:w w:val="95"/>
        </w:rPr>
        <w:t> </w:t>
      </w:r>
      <w:r>
        <w:rPr>
          <w:w w:val="95"/>
        </w:rPr>
        <w:t>evaluation measure focused on boundary quality and class imbalance. We </w:t>
      </w:r>
      <w:r>
        <w:rPr/>
        <w:t>perform</w:t>
      </w:r>
      <w:r>
        <w:rPr>
          <w:spacing w:val="-11"/>
        </w:rPr>
        <w:t> </w:t>
      </w:r>
      <w:r>
        <w:rPr/>
        <w:t>an</w:t>
      </w:r>
      <w:r>
        <w:rPr>
          <w:spacing w:val="-8"/>
        </w:rPr>
        <w:t> </w:t>
      </w:r>
      <w:r>
        <w:rPr/>
        <w:t>extensive</w:t>
      </w:r>
      <w:r>
        <w:rPr>
          <w:spacing w:val="-29"/>
        </w:rPr>
        <w:t> </w:t>
      </w:r>
      <w:r>
        <w:rPr/>
        <w:t>analysis</w:t>
      </w:r>
      <w:r>
        <w:rPr>
          <w:spacing w:val="-12"/>
        </w:rPr>
        <w:t> </w:t>
      </w:r>
      <w:r>
        <w:rPr/>
        <w:t>across</w:t>
      </w:r>
      <w:r>
        <w:rPr>
          <w:spacing w:val="-13"/>
        </w:rPr>
        <w:t> </w:t>
      </w:r>
      <w:r>
        <w:rPr/>
        <w:t>different</w:t>
      </w:r>
      <w:r>
        <w:rPr>
          <w:spacing w:val="-12"/>
        </w:rPr>
        <w:t> </w:t>
      </w:r>
      <w:r>
        <w:rPr/>
        <w:t>error</w:t>
      </w:r>
      <w:r>
        <w:rPr>
          <w:spacing w:val="-11"/>
        </w:rPr>
        <w:t> </w:t>
      </w:r>
      <w:r>
        <w:rPr/>
        <w:t>types</w:t>
      </w:r>
      <w:r>
        <w:rPr>
          <w:spacing w:val="-12"/>
        </w:rPr>
        <w:t> </w:t>
      </w:r>
      <w:r>
        <w:rPr/>
        <w:t>and </w:t>
      </w:r>
      <w:r>
        <w:rPr>
          <w:w w:val="95"/>
        </w:rPr>
        <w:t>object</w:t>
      </w:r>
      <w:r>
        <w:rPr>
          <w:spacing w:val="-18"/>
          <w:w w:val="95"/>
        </w:rPr>
        <w:t> </w:t>
      </w:r>
      <w:r>
        <w:rPr>
          <w:w w:val="95"/>
        </w:rPr>
        <w:t>sizes</w:t>
      </w:r>
      <w:r>
        <w:rPr>
          <w:spacing w:val="-15"/>
          <w:w w:val="95"/>
        </w:rPr>
        <w:t> </w:t>
      </w:r>
      <w:r>
        <w:rPr>
          <w:w w:val="95"/>
        </w:rPr>
        <w:t>of</w:t>
      </w:r>
      <w:r>
        <w:rPr>
          <w:spacing w:val="-16"/>
          <w:w w:val="95"/>
        </w:rPr>
        <w:t> </w:t>
      </w:r>
      <w:r>
        <w:rPr>
          <w:w w:val="95"/>
        </w:rPr>
        <w:t>imaged</w:t>
      </w:r>
      <w:r>
        <w:rPr>
          <w:spacing w:val="-16"/>
          <w:w w:val="95"/>
        </w:rPr>
        <w:t> </w:t>
      </w:r>
      <w:r>
        <w:rPr>
          <w:w w:val="95"/>
        </w:rPr>
        <w:t>tumors</w:t>
      </w:r>
      <w:r>
        <w:rPr>
          <w:spacing w:val="-17"/>
          <w:w w:val="95"/>
        </w:rPr>
        <w:t> </w:t>
      </w:r>
      <w:r>
        <w:rPr>
          <w:w w:val="95"/>
        </w:rPr>
        <w:t>from</w:t>
      </w:r>
      <w:r>
        <w:rPr>
          <w:spacing w:val="-17"/>
          <w:w w:val="95"/>
        </w:rPr>
        <w:t> </w:t>
      </w:r>
      <w:r>
        <w:rPr>
          <w:w w:val="95"/>
        </w:rPr>
        <w:t>MRI</w:t>
      </w:r>
      <w:r>
        <w:rPr>
          <w:spacing w:val="-16"/>
          <w:w w:val="95"/>
        </w:rPr>
        <w:t> </w:t>
      </w:r>
      <w:r>
        <w:rPr>
          <w:w w:val="95"/>
        </w:rPr>
        <w:t>scan</w:t>
      </w:r>
      <w:r>
        <w:rPr>
          <w:spacing w:val="-36"/>
          <w:w w:val="95"/>
        </w:rPr>
        <w:t> </w:t>
      </w:r>
      <w:r>
        <w:rPr>
          <w:w w:val="95"/>
        </w:rPr>
        <w:t>and</w:t>
      </w:r>
      <w:r>
        <w:rPr>
          <w:spacing w:val="-12"/>
          <w:w w:val="95"/>
        </w:rPr>
        <w:t> </w:t>
      </w:r>
      <w:r>
        <w:rPr>
          <w:w w:val="95"/>
        </w:rPr>
        <w:t>show</w:t>
      </w:r>
      <w:r>
        <w:rPr>
          <w:spacing w:val="-13"/>
          <w:w w:val="95"/>
        </w:rPr>
        <w:t> </w:t>
      </w:r>
      <w:r>
        <w:rPr>
          <w:w w:val="95"/>
        </w:rPr>
        <w:t>that</w:t>
      </w:r>
      <w:r>
        <w:rPr>
          <w:spacing w:val="-12"/>
          <w:w w:val="95"/>
        </w:rPr>
        <w:t> </w:t>
      </w:r>
      <w:r>
        <w:rPr>
          <w:w w:val="95"/>
        </w:rPr>
        <w:t>Focal Boundary Dice is significantly more sensitive than the standard Focal and Dice measures to boundary errors for imaged tumors from</w:t>
      </w:r>
      <w:r>
        <w:rPr>
          <w:spacing w:val="-5"/>
          <w:w w:val="95"/>
        </w:rPr>
        <w:t> </w:t>
      </w:r>
      <w:r>
        <w:rPr>
          <w:w w:val="95"/>
        </w:rPr>
        <w:t>MRI</w:t>
      </w:r>
      <w:r>
        <w:rPr>
          <w:spacing w:val="-3"/>
          <w:w w:val="95"/>
        </w:rPr>
        <w:t> </w:t>
      </w:r>
      <w:r>
        <w:rPr>
          <w:w w:val="95"/>
        </w:rPr>
        <w:t>scans</w:t>
      </w:r>
      <w:r>
        <w:rPr>
          <w:spacing w:val="-5"/>
          <w:w w:val="95"/>
        </w:rPr>
        <w:t> </w:t>
      </w:r>
      <w:r>
        <w:rPr>
          <w:w w:val="95"/>
        </w:rPr>
        <w:t>and</w:t>
      </w:r>
      <w:r>
        <w:rPr>
          <w:spacing w:val="-2"/>
          <w:w w:val="95"/>
        </w:rPr>
        <w:t> </w:t>
      </w:r>
      <w:r>
        <w:rPr>
          <w:w w:val="95"/>
        </w:rPr>
        <w:t>does</w:t>
      </w:r>
      <w:r>
        <w:rPr>
          <w:spacing w:val="-4"/>
          <w:w w:val="95"/>
        </w:rPr>
        <w:t> </w:t>
      </w:r>
      <w:r>
        <w:rPr>
          <w:w w:val="95"/>
        </w:rPr>
        <w:t>not</w:t>
      </w:r>
      <w:r>
        <w:rPr>
          <w:spacing w:val="-5"/>
          <w:w w:val="95"/>
        </w:rPr>
        <w:t> </w:t>
      </w:r>
      <w:r>
        <w:rPr>
          <w:w w:val="95"/>
        </w:rPr>
        <w:t>over-penalize</w:t>
      </w:r>
      <w:r>
        <w:rPr>
          <w:spacing w:val="-2"/>
          <w:w w:val="95"/>
        </w:rPr>
        <w:t> </w:t>
      </w:r>
      <w:r>
        <w:rPr>
          <w:w w:val="95"/>
        </w:rPr>
        <w:t>errors</w:t>
      </w:r>
      <w:r>
        <w:rPr>
          <w:spacing w:val="-3"/>
          <w:w w:val="95"/>
        </w:rPr>
        <w:t> </w:t>
      </w:r>
      <w:r>
        <w:rPr>
          <w:w w:val="95"/>
        </w:rPr>
        <w:t>on</w:t>
      </w:r>
      <w:r>
        <w:rPr>
          <w:spacing w:val="-4"/>
          <w:w w:val="95"/>
        </w:rPr>
        <w:t> </w:t>
      </w:r>
      <w:r>
        <w:rPr>
          <w:w w:val="95"/>
        </w:rPr>
        <w:t>division</w:t>
      </w:r>
      <w:r>
        <w:rPr>
          <w:spacing w:val="-5"/>
          <w:w w:val="95"/>
        </w:rPr>
        <w:t> </w:t>
      </w:r>
      <w:r>
        <w:rPr>
          <w:w w:val="95"/>
        </w:rPr>
        <w:t>of the</w:t>
      </w:r>
      <w:r>
        <w:rPr>
          <w:spacing w:val="-6"/>
          <w:w w:val="95"/>
        </w:rPr>
        <w:t> </w:t>
      </w:r>
      <w:r>
        <w:rPr>
          <w:w w:val="95"/>
        </w:rPr>
        <w:t>boundary,</w:t>
      </w:r>
      <w:r>
        <w:rPr>
          <w:spacing w:val="-6"/>
          <w:w w:val="95"/>
        </w:rPr>
        <w:t> </w:t>
      </w:r>
      <w:r>
        <w:rPr>
          <w:w w:val="95"/>
        </w:rPr>
        <w:t>including</w:t>
      </w:r>
      <w:r>
        <w:rPr>
          <w:spacing w:val="-5"/>
          <w:w w:val="95"/>
        </w:rPr>
        <w:t> </w:t>
      </w:r>
      <w:r>
        <w:rPr>
          <w:w w:val="95"/>
        </w:rPr>
        <w:t>smaller</w:t>
      </w:r>
      <w:r>
        <w:rPr>
          <w:spacing w:val="-7"/>
          <w:w w:val="95"/>
        </w:rPr>
        <w:t> </w:t>
      </w:r>
      <w:r>
        <w:rPr>
          <w:w w:val="95"/>
        </w:rPr>
        <w:t>imaged</w:t>
      </w:r>
      <w:r>
        <w:rPr>
          <w:spacing w:val="-5"/>
          <w:w w:val="95"/>
        </w:rPr>
        <w:t> </w:t>
      </w:r>
      <w:r>
        <w:rPr>
          <w:w w:val="95"/>
        </w:rPr>
        <w:t>objects.</w:t>
      </w:r>
      <w:r>
        <w:rPr>
          <w:spacing w:val="-6"/>
          <w:w w:val="95"/>
        </w:rPr>
        <w:t> </w:t>
      </w:r>
      <w:r>
        <w:rPr>
          <w:w w:val="95"/>
        </w:rPr>
        <w:t>The</w:t>
      </w:r>
      <w:r>
        <w:rPr>
          <w:spacing w:val="-7"/>
          <w:w w:val="95"/>
        </w:rPr>
        <w:t> </w:t>
      </w:r>
      <w:r>
        <w:rPr>
          <w:w w:val="95"/>
        </w:rPr>
        <w:t>new</w:t>
      </w:r>
      <w:r>
        <w:rPr>
          <w:spacing w:val="-7"/>
          <w:w w:val="95"/>
        </w:rPr>
        <w:t> </w:t>
      </w:r>
      <w:r>
        <w:rPr>
          <w:w w:val="95"/>
        </w:rPr>
        <w:t>quality measure displays several desirable characteristics, like higher </w:t>
      </w:r>
      <w:r>
        <w:rPr>
          <w:spacing w:val="-1"/>
          <w:w w:val="99"/>
        </w:rPr>
        <w:t>a</w:t>
      </w:r>
      <w:r>
        <w:rPr>
          <w:w w:val="76"/>
        </w:rPr>
        <w:t>cc</w:t>
      </w:r>
      <w:r>
        <w:rPr>
          <w:w w:val="78"/>
        </w:rPr>
        <w:t>u</w:t>
      </w:r>
      <w:r>
        <w:rPr/>
        <w:t>r</w:t>
      </w:r>
      <w:r>
        <w:rPr>
          <w:spacing w:val="-1"/>
          <w:w w:val="99"/>
        </w:rPr>
        <w:t>a</w:t>
      </w:r>
      <w:r>
        <w:rPr>
          <w:w w:val="76"/>
        </w:rPr>
        <w:t>c</w:t>
      </w:r>
      <w:r>
        <w:rPr/>
        <w:t>y</w:t>
      </w:r>
      <w:r>
        <w:rPr>
          <w:spacing w:val="16"/>
        </w:rPr>
        <w:t> </w:t>
      </w:r>
      <w:r>
        <w:rPr>
          <w:spacing w:val="-2"/>
          <w:w w:val="98"/>
        </w:rPr>
        <w:t>i</w:t>
      </w:r>
      <w:r>
        <w:rPr>
          <w:w w:val="78"/>
        </w:rPr>
        <w:t>n</w:t>
      </w:r>
      <w:r>
        <w:rPr>
          <w:spacing w:val="15"/>
        </w:rPr>
        <w:t> </w:t>
      </w:r>
      <w:r>
        <w:rPr>
          <w:spacing w:val="-1"/>
          <w:w w:val="97"/>
        </w:rPr>
        <w:t>t</w:t>
      </w:r>
      <w:r>
        <w:rPr>
          <w:w w:val="78"/>
        </w:rPr>
        <w:t>h</w:t>
      </w:r>
      <w:r>
        <w:rPr>
          <w:w w:val="89"/>
        </w:rPr>
        <w:t>e</w:t>
      </w:r>
      <w:r>
        <w:rPr>
          <w:spacing w:val="16"/>
        </w:rPr>
        <w:t> </w:t>
      </w:r>
      <w:r>
        <w:rPr>
          <w:w w:val="66"/>
        </w:rPr>
        <w:t>s</w:t>
      </w:r>
      <w:r>
        <w:rPr>
          <w:spacing w:val="1"/>
          <w:w w:val="89"/>
        </w:rPr>
        <w:t>e</w:t>
      </w:r>
      <w:r>
        <w:rPr>
          <w:spacing w:val="-2"/>
          <w:w w:val="98"/>
        </w:rPr>
        <w:t>l</w:t>
      </w:r>
      <w:r>
        <w:rPr>
          <w:spacing w:val="1"/>
          <w:w w:val="89"/>
        </w:rPr>
        <w:t>e</w:t>
      </w:r>
      <w:r>
        <w:rPr>
          <w:w w:val="76"/>
        </w:rPr>
        <w:t>c</w:t>
      </w:r>
      <w:r>
        <w:rPr>
          <w:spacing w:val="-1"/>
          <w:w w:val="97"/>
        </w:rPr>
        <w:t>t</w:t>
      </w:r>
      <w:r>
        <w:rPr>
          <w:spacing w:val="-2"/>
          <w:w w:val="98"/>
        </w:rPr>
        <w:t>i</w:t>
      </w:r>
      <w:r>
        <w:rPr>
          <w:spacing w:val="1"/>
          <w:w w:val="89"/>
        </w:rPr>
        <w:t>o</w:t>
      </w:r>
      <w:r>
        <w:rPr>
          <w:w w:val="78"/>
        </w:rPr>
        <w:t>n</w:t>
      </w:r>
      <w:r>
        <w:rPr>
          <w:spacing w:val="12"/>
        </w:rPr>
        <w:t> </w:t>
      </w:r>
      <w:r>
        <w:rPr>
          <w:spacing w:val="1"/>
          <w:w w:val="89"/>
        </w:rPr>
        <w:t>o</w:t>
      </w:r>
      <w:r>
        <w:rPr>
          <w:w w:val="119"/>
        </w:rPr>
        <w:t>f</w:t>
      </w:r>
      <w:r>
        <w:rPr>
          <w:spacing w:val="14"/>
        </w:rPr>
        <w:t> </w:t>
      </w:r>
      <w:r>
        <w:rPr>
          <w:w w:val="78"/>
        </w:rPr>
        <w:t>h</w:t>
      </w:r>
      <w:r>
        <w:rPr>
          <w:spacing w:val="-1"/>
          <w:w w:val="99"/>
        </w:rPr>
        <w:t>a</w:t>
      </w:r>
      <w:r>
        <w:rPr/>
        <w:t>r</w:t>
      </w:r>
      <w:r>
        <w:rPr>
          <w:w w:val="99"/>
        </w:rPr>
        <w:t>d</w:t>
      </w:r>
      <w:r>
        <w:rPr>
          <w:spacing w:val="16"/>
        </w:rPr>
        <w:t> </w:t>
      </w:r>
      <w:r>
        <w:rPr>
          <w:w w:val="66"/>
        </w:rPr>
        <w:t>s</w:t>
      </w:r>
      <w:r>
        <w:rPr>
          <w:spacing w:val="-1"/>
          <w:w w:val="99"/>
        </w:rPr>
        <w:t>a</w:t>
      </w:r>
      <w:r>
        <w:rPr>
          <w:spacing w:val="-1"/>
          <w:w w:val="80"/>
        </w:rPr>
        <w:t>m</w:t>
      </w:r>
      <w:r>
        <w:rPr>
          <w:spacing w:val="-1"/>
          <w:w w:val="99"/>
        </w:rPr>
        <w:t>p</w:t>
      </w:r>
      <w:r>
        <w:rPr>
          <w:spacing w:val="1"/>
          <w:w w:val="98"/>
        </w:rPr>
        <w:t>l</w:t>
      </w:r>
      <w:r>
        <w:rPr>
          <w:spacing w:val="1"/>
          <w:w w:val="89"/>
        </w:rPr>
        <w:t>e</w:t>
      </w:r>
      <w:r>
        <w:rPr>
          <w:w w:val="66"/>
        </w:rPr>
        <w:t>s</w:t>
      </w:r>
      <w:r>
        <w:rPr>
          <w:w w:val="78"/>
        </w:rPr>
        <w:t>,</w:t>
      </w:r>
      <w:r>
        <w:rPr>
          <w:spacing w:val="13"/>
        </w:rPr>
        <w:t> </w:t>
      </w:r>
      <w:r>
        <w:rPr>
          <w:spacing w:val="-1"/>
          <w:w w:val="99"/>
        </w:rPr>
        <w:t>p</w:t>
      </w:r>
      <w:r>
        <w:rPr/>
        <w:t>r</w:t>
      </w:r>
      <w:r>
        <w:rPr>
          <w:spacing w:val="1"/>
          <w:w w:val="89"/>
        </w:rPr>
        <w:t>e</w:t>
      </w:r>
      <w:r>
        <w:rPr>
          <w:spacing w:val="-1"/>
          <w:w w:val="99"/>
        </w:rPr>
        <w:t>d</w:t>
      </w:r>
      <w:r>
        <w:rPr>
          <w:spacing w:val="-2"/>
          <w:w w:val="98"/>
        </w:rPr>
        <w:t>i</w:t>
      </w:r>
      <w:r>
        <w:rPr>
          <w:w w:val="76"/>
        </w:rPr>
        <w:t>c</w:t>
      </w:r>
      <w:r>
        <w:rPr>
          <w:spacing w:val="-1"/>
          <w:w w:val="97"/>
        </w:rPr>
        <w:t>t</w:t>
      </w:r>
      <w:r>
        <w:rPr>
          <w:spacing w:val="1"/>
          <w:w w:val="98"/>
        </w:rPr>
        <w:t>i</w:t>
      </w:r>
      <w:r>
        <w:rPr>
          <w:spacing w:val="1"/>
          <w:w w:val="89"/>
        </w:rPr>
        <w:t>o</w:t>
      </w:r>
      <w:r>
        <w:rPr>
          <w:w w:val="78"/>
        </w:rPr>
        <w:t>n</w:t>
      </w:r>
      <w:r>
        <w:rPr>
          <w:spacing w:val="-2"/>
          <w:w w:val="179"/>
        </w:rPr>
        <w:t>/</w:t>
      </w:r>
      <w:r>
        <w:rPr>
          <w:spacing w:val="-1"/>
          <w:w w:val="99"/>
        </w:rPr>
        <w:t>g</w:t>
      </w:r>
      <w:r>
        <w:rPr/>
        <w:t>r</w:t>
      </w:r>
      <w:r>
        <w:rPr>
          <w:spacing w:val="1"/>
          <w:w w:val="89"/>
        </w:rPr>
        <w:t>o</w:t>
      </w:r>
      <w:r>
        <w:rPr>
          <w:w w:val="78"/>
        </w:rPr>
        <w:t>un</w:t>
      </w:r>
      <w:r>
        <w:rPr>
          <w:w w:val="99"/>
        </w:rPr>
        <w:t>d</w:t>
      </w:r>
      <w:r>
        <w:rPr>
          <w:spacing w:val="14"/>
        </w:rPr>
        <w:t> </w:t>
      </w:r>
      <w:r>
        <w:rPr>
          <w:spacing w:val="-1"/>
          <w:w w:val="97"/>
        </w:rPr>
        <w:t>t</w:t>
      </w:r>
      <w:r>
        <w:rPr/>
        <w:t>r</w:t>
      </w:r>
      <w:r>
        <w:rPr>
          <w:w w:val="78"/>
        </w:rPr>
        <w:t>u</w:t>
      </w:r>
      <w:r>
        <w:rPr>
          <w:spacing w:val="-1"/>
          <w:w w:val="97"/>
        </w:rPr>
        <w:t>t</w:t>
      </w:r>
      <w:r>
        <w:rPr>
          <w:w w:val="78"/>
        </w:rPr>
        <w:t>h </w:t>
      </w:r>
      <w:r>
        <w:rPr>
          <w:w w:val="90"/>
        </w:rPr>
        <w:t>pairs, and balanced responsiveness across scales, which makes it more suitable for segmentation evaluation than other classification </w:t>
      </w:r>
      <w:r>
        <w:rPr>
          <w:w w:val="95"/>
        </w:rPr>
        <w:t>focused measures such as combined IoU [1] and BCE loss [2], </w:t>
      </w:r>
      <w:r>
        <w:rPr/>
        <w:t>Boundary</w:t>
      </w:r>
      <w:r>
        <w:rPr>
          <w:spacing w:val="-16"/>
        </w:rPr>
        <w:t> </w:t>
      </w:r>
      <w:r>
        <w:rPr/>
        <w:t>BCE</w:t>
      </w:r>
      <w:r>
        <w:rPr>
          <w:spacing w:val="-15"/>
        </w:rPr>
        <w:t> </w:t>
      </w:r>
      <w:r>
        <w:rPr/>
        <w:t>loss</w:t>
      </w:r>
      <w:r>
        <w:rPr>
          <w:spacing w:val="-17"/>
        </w:rPr>
        <w:t> </w:t>
      </w:r>
      <w:r>
        <w:rPr/>
        <w:t>and</w:t>
      </w:r>
      <w:r>
        <w:rPr>
          <w:spacing w:val="-15"/>
        </w:rPr>
        <w:t> </w:t>
      </w:r>
      <w:r>
        <w:rPr/>
        <w:t>Shape-aware</w:t>
      </w:r>
      <w:r>
        <w:rPr>
          <w:spacing w:val="-14"/>
        </w:rPr>
        <w:t> </w:t>
      </w:r>
      <w:r>
        <w:rPr/>
        <w:t>Loss</w:t>
      </w:r>
      <w:r>
        <w:rPr>
          <w:spacing w:val="-16"/>
        </w:rPr>
        <w:t> </w:t>
      </w:r>
      <w:r>
        <w:rPr/>
        <w:t>[3].</w:t>
      </w:r>
    </w:p>
    <w:p>
      <w:pPr>
        <w:pStyle w:val="BodyText"/>
        <w:spacing w:line="302" w:lineRule="auto" w:before="157"/>
        <w:ind w:left="299" w:right="38"/>
        <w:jc w:val="both"/>
      </w:pPr>
      <w:r>
        <w:rPr>
          <w:color w:val="444444"/>
          <w:u w:val="single" w:color="444444"/>
        </w:rPr>
        <w:t>Methods:</w:t>
      </w:r>
      <w:r>
        <w:rPr>
          <w:color w:val="444444"/>
        </w:rPr>
        <w:t> </w:t>
      </w:r>
      <w:r>
        <w:rPr/>
        <w:t>Based on Boundary Dice, we update the standard </w:t>
      </w:r>
      <w:r>
        <w:rPr>
          <w:w w:val="90"/>
        </w:rPr>
        <w:t>evaluation protocols for tumor segmentation tasks by proposing the </w:t>
      </w:r>
      <w:r>
        <w:rPr>
          <w:w w:val="95"/>
        </w:rPr>
        <w:t>Focal</w:t>
      </w:r>
      <w:r>
        <w:rPr>
          <w:spacing w:val="-25"/>
          <w:w w:val="95"/>
        </w:rPr>
        <w:t> </w:t>
      </w:r>
      <w:r>
        <w:rPr>
          <w:w w:val="95"/>
        </w:rPr>
        <w:t>Boundary</w:t>
      </w:r>
      <w:r>
        <w:rPr>
          <w:spacing w:val="-25"/>
          <w:w w:val="95"/>
        </w:rPr>
        <w:t> </w:t>
      </w:r>
      <w:r>
        <w:rPr>
          <w:w w:val="95"/>
        </w:rPr>
        <w:t>Dice.</w:t>
      </w:r>
      <w:r>
        <w:rPr>
          <w:spacing w:val="-24"/>
          <w:w w:val="95"/>
        </w:rPr>
        <w:t> </w:t>
      </w:r>
      <w:r>
        <w:rPr>
          <w:w w:val="95"/>
        </w:rPr>
        <w:t>We</w:t>
      </w:r>
      <w:r>
        <w:rPr>
          <w:spacing w:val="-25"/>
          <w:w w:val="95"/>
        </w:rPr>
        <w:t> </w:t>
      </w:r>
      <w:r>
        <w:rPr>
          <w:w w:val="95"/>
        </w:rPr>
        <w:t>mainly</w:t>
      </w:r>
      <w:r>
        <w:rPr>
          <w:spacing w:val="-24"/>
          <w:w w:val="95"/>
        </w:rPr>
        <w:t> </w:t>
      </w:r>
      <w:r>
        <w:rPr>
          <w:w w:val="95"/>
        </w:rPr>
        <w:t>solves</w:t>
      </w:r>
      <w:r>
        <w:rPr>
          <w:spacing w:val="-24"/>
          <w:w w:val="95"/>
        </w:rPr>
        <w:t> </w:t>
      </w:r>
      <w:r>
        <w:rPr>
          <w:w w:val="95"/>
        </w:rPr>
        <w:t>the</w:t>
      </w:r>
      <w:r>
        <w:rPr>
          <w:spacing w:val="-25"/>
          <w:w w:val="95"/>
        </w:rPr>
        <w:t> </w:t>
      </w:r>
      <w:r>
        <w:rPr>
          <w:w w:val="95"/>
        </w:rPr>
        <w:t>contradiction</w:t>
      </w:r>
      <w:r>
        <w:rPr>
          <w:spacing w:val="-24"/>
          <w:w w:val="95"/>
        </w:rPr>
        <w:t> </w:t>
      </w:r>
      <w:r>
        <w:rPr>
          <w:w w:val="95"/>
        </w:rPr>
        <w:t>between </w:t>
      </w:r>
      <w:r>
        <w:rPr/>
        <w:t>target</w:t>
      </w:r>
      <w:r>
        <w:rPr>
          <w:spacing w:val="-17"/>
        </w:rPr>
        <w:t> </w:t>
      </w:r>
      <w:r>
        <w:rPr/>
        <w:t>and</w:t>
      </w:r>
      <w:r>
        <w:rPr>
          <w:spacing w:val="-17"/>
        </w:rPr>
        <w:t> </w:t>
      </w:r>
      <w:r>
        <w:rPr/>
        <w:t>background</w:t>
      </w:r>
      <w:r>
        <w:rPr>
          <w:spacing w:val="-15"/>
        </w:rPr>
        <w:t> </w:t>
      </w:r>
      <w:r>
        <w:rPr/>
        <w:t>area</w:t>
      </w:r>
      <w:r>
        <w:rPr>
          <w:spacing w:val="-17"/>
        </w:rPr>
        <w:t> </w:t>
      </w:r>
      <w:r>
        <w:rPr/>
        <w:t>and</w:t>
      </w:r>
      <w:r>
        <w:rPr>
          <w:spacing w:val="-16"/>
        </w:rPr>
        <w:t> </w:t>
      </w:r>
      <w:r>
        <w:rPr/>
        <w:t>the</w:t>
      </w:r>
      <w:r>
        <w:rPr>
          <w:spacing w:val="-15"/>
        </w:rPr>
        <w:t> </w:t>
      </w:r>
      <w:r>
        <w:rPr/>
        <w:t>contradiction</w:t>
      </w:r>
      <w:r>
        <w:rPr>
          <w:spacing w:val="-16"/>
        </w:rPr>
        <w:t> </w:t>
      </w:r>
      <w:r>
        <w:rPr/>
        <w:t>between</w:t>
      </w:r>
      <w:r>
        <w:rPr>
          <w:spacing w:val="-36"/>
        </w:rPr>
        <w:t> </w:t>
      </w:r>
      <w:r>
        <w:rPr/>
        <w:t>the importance and attention of boundary features. Meanwhile,</w:t>
      </w:r>
      <w:r>
        <w:rPr>
          <w:spacing w:val="-30"/>
        </w:rPr>
        <w:t> </w:t>
      </w:r>
      <w:r>
        <w:rPr/>
        <w:t>a </w:t>
      </w:r>
      <w:r>
        <w:rPr>
          <w:w w:val="95"/>
        </w:rPr>
        <w:t>boundary attention module is introduced to further extract tumor </w:t>
      </w:r>
      <w:r>
        <w:rPr/>
        <w:t>edge</w:t>
      </w:r>
      <w:r>
        <w:rPr>
          <w:spacing w:val="-3"/>
        </w:rPr>
        <w:t> </w:t>
      </w:r>
      <w:r>
        <w:rPr/>
        <w:t>features.</w:t>
      </w:r>
    </w:p>
    <w:p>
      <w:pPr>
        <w:pStyle w:val="BodyText"/>
        <w:spacing w:before="157"/>
        <w:ind w:left="299"/>
      </w:pPr>
      <w:r>
        <w:rPr>
          <w:color w:val="444444"/>
          <w:w w:val="95"/>
          <w:u w:val="single" w:color="444444"/>
        </w:rPr>
        <w:t>Results:</w:t>
      </w:r>
      <w:r>
        <w:rPr>
          <w:color w:val="444444"/>
          <w:w w:val="95"/>
        </w:rPr>
        <w:t> </w:t>
      </w:r>
      <w:r>
        <w:rPr>
          <w:w w:val="95"/>
        </w:rPr>
        <w:t>Our experiments show that the new evaluation metrics</w:t>
      </w:r>
    </w:p>
    <w:p>
      <w:pPr>
        <w:pStyle w:val="Heading2"/>
      </w:pPr>
      <w:r>
        <w:rPr>
          <w:b w:val="0"/>
        </w:rPr>
        <w:br w:type="column"/>
      </w:r>
      <w:r>
        <w:rPr>
          <w:color w:val="BE5A13"/>
        </w:rPr>
        <w:t>Image</w:t>
      </w: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spacing w:before="185"/>
        <w:ind w:left="320" w:right="148" w:firstLine="0"/>
        <w:jc w:val="left"/>
        <w:rPr>
          <w:rFonts w:ascii="Times New Roman"/>
          <w:sz w:val="15"/>
        </w:rPr>
      </w:pPr>
      <w:r>
        <w:rPr/>
        <w:pict>
          <v:group style="position:absolute;margin-left:302.950012pt;margin-top:-199.388046pt;width:280.6pt;height:195.1pt;mso-position-horizontal-relative:page;mso-position-vertical-relative:paragraph;z-index:15729664" coordorigin="6059,-3988" coordsize="5612,3902">
            <v:shape style="position:absolute;left:6059;top:-3988;width:5612;height:3902" coordorigin="6059,-3988" coordsize="5612,3902" path="m11665,-86l6065,-86,6063,-86,6061,-88,6059,-89,6059,-92,6059,-3982,6059,-3984,6061,-3986,6063,-3987,6065,-3988,11665,-3988,11667,-3987,11669,-3986,11671,-3984,11671,-3982,6071,-3982,6065,-3976,6071,-3976,6071,-98,6065,-98,6071,-92,11671,-92,11671,-89,11669,-88,11667,-86,11665,-86xm6071,-3976l6065,-3976,6071,-3982,6071,-3976xm11659,-3976l6071,-3976,6071,-3982,11659,-3982,11659,-3976xm11659,-92l11659,-3982,11665,-3976,11671,-3976,11671,-98,11665,-98,11659,-92xm11671,-3976l11665,-3976,11659,-3982,11671,-3982,11671,-3976xm6071,-92l6065,-98,6071,-98,6071,-92xm11659,-92l6071,-92,6071,-98,11659,-98,11659,-92xm11671,-92l11659,-92,11665,-98,11671,-98,11671,-92xe" filled="true" fillcolor="#000000" stroked="false">
              <v:path arrowok="t"/>
              <v:fill type="solid"/>
            </v:shape>
            <v:shape style="position:absolute;left:6213;top:-3905;width:5348;height:3646" type="#_x0000_t75" stroked="false">
              <v:imagedata r:id="rId5" o:title=""/>
            </v:shape>
            <w10:wrap type="none"/>
          </v:group>
        </w:pict>
      </w:r>
      <w:r>
        <w:rPr>
          <w:rFonts w:ascii="Times New Roman"/>
          <w:sz w:val="15"/>
        </w:rPr>
        <w:t>Fig. 1 The resultant segments of imaged tumors under the Focal boundary dice loss.  The segmented tumors are overlayed on the original</w:t>
      </w:r>
      <w:r>
        <w:rPr>
          <w:rFonts w:ascii="Times New Roman"/>
          <w:spacing w:val="25"/>
          <w:sz w:val="15"/>
        </w:rPr>
        <w:t> </w:t>
      </w:r>
      <w:r>
        <w:rPr>
          <w:rFonts w:ascii="Times New Roman"/>
          <w:sz w:val="15"/>
        </w:rPr>
        <w:t>data.</w:t>
      </w:r>
    </w:p>
    <w:p>
      <w:pPr>
        <w:pStyle w:val="BodyText"/>
        <w:rPr>
          <w:rFonts w:ascii="Times New Roman"/>
          <w:sz w:val="16"/>
        </w:rPr>
      </w:pPr>
    </w:p>
    <w:p>
      <w:pPr>
        <w:pStyle w:val="BodyText"/>
        <w:rPr>
          <w:rFonts w:ascii="Times New Roman"/>
          <w:sz w:val="16"/>
        </w:rPr>
      </w:pPr>
    </w:p>
    <w:p>
      <w:pPr>
        <w:pStyle w:val="BodyText"/>
        <w:spacing w:before="3"/>
        <w:rPr>
          <w:rFonts w:ascii="Times New Roman"/>
          <w:sz w:val="13"/>
        </w:rPr>
      </w:pPr>
    </w:p>
    <w:p>
      <w:pPr>
        <w:pStyle w:val="Heading3"/>
        <w:spacing w:line="240" w:lineRule="auto"/>
        <w:ind w:left="299" w:right="148"/>
        <w:rPr>
          <w:rFonts w:ascii="Times New Roman"/>
        </w:rPr>
      </w:pPr>
      <w:r>
        <w:rPr>
          <w:rFonts w:ascii="Times New Roman"/>
        </w:rPr>
        <w:t>Table 1. Resultant segmentation using different loss functions based deep learning models.</w:t>
      </w:r>
    </w:p>
    <w:p>
      <w:pPr>
        <w:spacing w:after="0" w:line="240" w:lineRule="auto"/>
        <w:rPr>
          <w:rFonts w:ascii="Times New Roman"/>
        </w:rPr>
        <w:sectPr>
          <w:type w:val="continuous"/>
          <w:pgSz w:w="11910" w:h="16840"/>
          <w:pgMar w:top="1020" w:bottom="280" w:left="500" w:right="320"/>
          <w:cols w:num="2" w:equalWidth="0">
            <w:col w:w="5159" w:space="193"/>
            <w:col w:w="5738"/>
          </w:cols>
        </w:sectPr>
      </w:pPr>
    </w:p>
    <w:p>
      <w:pPr>
        <w:pStyle w:val="BodyText"/>
        <w:tabs>
          <w:tab w:pos="6134" w:val="left" w:leader="none"/>
          <w:tab w:pos="10449" w:val="left" w:leader="none"/>
        </w:tabs>
        <w:spacing w:before="55"/>
        <w:ind w:left="299"/>
        <w:jc w:val="both"/>
        <w:rPr>
          <w:rFonts w:ascii="Times New Roman"/>
        </w:rPr>
      </w:pPr>
      <w:r>
        <w:rPr>
          <w:w w:val="95"/>
        </w:rPr>
        <w:t>allow boundary quality improvements and image </w:t>
      </w:r>
      <w:r>
        <w:rPr>
          <w:spacing w:val="18"/>
          <w:w w:val="95"/>
        </w:rPr>
        <w:t> </w:t>
      </w:r>
      <w:r>
        <w:rPr>
          <w:w w:val="95"/>
        </w:rPr>
        <w:t>segmentation</w:t>
      </w:r>
      <w:r>
        <w:rPr/>
        <w:tab/>
      </w:r>
      <w:r>
        <w:rPr>
          <w:rFonts w:ascii="Times New Roman"/>
          <w:u w:val="single"/>
        </w:rPr>
        <w:t> </w:t>
        <w:tab/>
      </w:r>
    </w:p>
    <w:p>
      <w:pPr>
        <w:pStyle w:val="BodyText"/>
        <w:spacing w:line="302" w:lineRule="auto" w:before="52"/>
        <w:ind w:left="299" w:right="5969"/>
        <w:jc w:val="both"/>
      </w:pPr>
      <w:r>
        <w:rPr/>
        <w:pict>
          <v:line style="position:absolute;mso-position-horizontal-relative:page;mso-position-vertical-relative:paragraph;z-index:15729152" from="331.75pt,21.74188pt" to="545.25pt,21.74188pt" stroked="true" strokeweight=".48pt" strokecolor="#000000">
            <v:stroke dashstyle="solid"/>
            <w10:wrap type="none"/>
          </v:line>
        </w:pict>
      </w:r>
      <w:r>
        <w:rPr/>
        <w:pict>
          <v:shapetype id="_x0000_t202" o:spt="202" coordsize="21600,21600" path="m,l,21600r21600,l21600,xe">
            <v:stroke joinstyle="miter"/>
            <v:path gradientshapeok="t" o:connecttype="rect"/>
          </v:shapetype>
          <v:shape style="position:absolute;margin-left:422.779999pt;margin-top:2.810395pt;width:114.7pt;height:172.8pt;mso-position-horizontal-relative:page;mso-position-vertical-relative:paragraph;z-index:15730176"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65"/>
                    <w:gridCol w:w="1328"/>
                  </w:tblGrid>
                  <w:tr>
                    <w:trPr>
                      <w:trHeight w:val="266" w:hRule="atLeast"/>
                    </w:trPr>
                    <w:tc>
                      <w:tcPr>
                        <w:tcW w:w="965" w:type="dxa"/>
                      </w:tcPr>
                      <w:p>
                        <w:pPr>
                          <w:pStyle w:val="TableParagraph"/>
                          <w:spacing w:line="247" w:lineRule="exact"/>
                          <w:rPr>
                            <w:sz w:val="24"/>
                          </w:rPr>
                        </w:pPr>
                        <w:r>
                          <w:rPr>
                            <w:w w:val="85"/>
                            <w:sz w:val="24"/>
                          </w:rPr>
                          <w:t>Precision</w:t>
                        </w:r>
                      </w:p>
                    </w:tc>
                    <w:tc>
                      <w:tcPr>
                        <w:tcW w:w="1328" w:type="dxa"/>
                      </w:tcPr>
                      <w:p>
                        <w:pPr>
                          <w:pStyle w:val="TableParagraph"/>
                          <w:spacing w:line="247" w:lineRule="exact"/>
                          <w:ind w:left="95"/>
                          <w:rPr>
                            <w:sz w:val="24"/>
                          </w:rPr>
                        </w:pPr>
                        <w:r>
                          <w:rPr>
                            <w:sz w:val="24"/>
                          </w:rPr>
                          <w:t>Specificity</w:t>
                        </w:r>
                      </w:p>
                    </w:tc>
                  </w:tr>
                  <w:tr>
                    <w:trPr>
                      <w:trHeight w:val="207" w:hRule="atLeast"/>
                    </w:trPr>
                    <w:tc>
                      <w:tcPr>
                        <w:tcW w:w="965" w:type="dxa"/>
                      </w:tcPr>
                      <w:p>
                        <w:pPr>
                          <w:pStyle w:val="TableParagraph"/>
                          <w:ind w:left="0"/>
                          <w:rPr>
                            <w:rFonts w:ascii="Times New Roman"/>
                            <w:sz w:val="14"/>
                          </w:rPr>
                        </w:pPr>
                      </w:p>
                    </w:tc>
                    <w:tc>
                      <w:tcPr>
                        <w:tcW w:w="1328" w:type="dxa"/>
                      </w:tcPr>
                      <w:p>
                        <w:pPr>
                          <w:pStyle w:val="TableParagraph"/>
                          <w:ind w:left="0"/>
                          <w:rPr>
                            <w:rFonts w:ascii="Times New Roman"/>
                            <w:sz w:val="14"/>
                          </w:rPr>
                        </w:pPr>
                      </w:p>
                    </w:tc>
                  </w:tr>
                  <w:tr>
                    <w:trPr>
                      <w:trHeight w:val="324" w:hRule="atLeast"/>
                    </w:trPr>
                    <w:tc>
                      <w:tcPr>
                        <w:tcW w:w="965" w:type="dxa"/>
                      </w:tcPr>
                      <w:p>
                        <w:pPr>
                          <w:pStyle w:val="TableParagraph"/>
                          <w:spacing w:line="262" w:lineRule="exact"/>
                          <w:rPr>
                            <w:sz w:val="24"/>
                          </w:rPr>
                        </w:pPr>
                        <w:r>
                          <w:rPr>
                            <w:sz w:val="24"/>
                          </w:rPr>
                          <w:t>0.81</w:t>
                        </w:r>
                      </w:p>
                    </w:tc>
                    <w:tc>
                      <w:tcPr>
                        <w:tcW w:w="1328" w:type="dxa"/>
                      </w:tcPr>
                      <w:p>
                        <w:pPr>
                          <w:pStyle w:val="TableParagraph"/>
                          <w:spacing w:line="262" w:lineRule="exact"/>
                          <w:ind w:left="95"/>
                          <w:rPr>
                            <w:sz w:val="24"/>
                          </w:rPr>
                        </w:pPr>
                        <w:r>
                          <w:rPr>
                            <w:sz w:val="24"/>
                          </w:rPr>
                          <w:t>0.99</w:t>
                        </w:r>
                      </w:p>
                    </w:tc>
                  </w:tr>
                  <w:tr>
                    <w:trPr>
                      <w:trHeight w:val="422" w:hRule="atLeast"/>
                    </w:trPr>
                    <w:tc>
                      <w:tcPr>
                        <w:tcW w:w="965" w:type="dxa"/>
                      </w:tcPr>
                      <w:p>
                        <w:pPr>
                          <w:pStyle w:val="TableParagraph"/>
                          <w:spacing w:before="38"/>
                          <w:rPr>
                            <w:sz w:val="24"/>
                          </w:rPr>
                        </w:pPr>
                        <w:r>
                          <w:rPr>
                            <w:sz w:val="24"/>
                          </w:rPr>
                          <w:t>0.82</w:t>
                        </w:r>
                      </w:p>
                    </w:tc>
                    <w:tc>
                      <w:tcPr>
                        <w:tcW w:w="1328" w:type="dxa"/>
                      </w:tcPr>
                      <w:p>
                        <w:pPr>
                          <w:pStyle w:val="TableParagraph"/>
                          <w:spacing w:before="38"/>
                          <w:ind w:left="95"/>
                          <w:rPr>
                            <w:sz w:val="24"/>
                          </w:rPr>
                        </w:pPr>
                        <w:r>
                          <w:rPr>
                            <w:sz w:val="24"/>
                          </w:rPr>
                          <w:t>0.99</w:t>
                        </w:r>
                      </w:p>
                    </w:tc>
                  </w:tr>
                  <w:tr>
                    <w:trPr>
                      <w:trHeight w:val="559" w:hRule="atLeast"/>
                    </w:trPr>
                    <w:tc>
                      <w:tcPr>
                        <w:tcW w:w="965" w:type="dxa"/>
                      </w:tcPr>
                      <w:p>
                        <w:pPr>
                          <w:pStyle w:val="TableParagraph"/>
                          <w:spacing w:before="83"/>
                          <w:rPr>
                            <w:sz w:val="24"/>
                          </w:rPr>
                        </w:pPr>
                        <w:r>
                          <w:rPr>
                            <w:sz w:val="24"/>
                          </w:rPr>
                          <w:t>0.78</w:t>
                        </w:r>
                      </w:p>
                    </w:tc>
                    <w:tc>
                      <w:tcPr>
                        <w:tcW w:w="1328" w:type="dxa"/>
                      </w:tcPr>
                      <w:p>
                        <w:pPr>
                          <w:pStyle w:val="TableParagraph"/>
                          <w:spacing w:before="83"/>
                          <w:ind w:left="95"/>
                          <w:rPr>
                            <w:sz w:val="24"/>
                          </w:rPr>
                        </w:pPr>
                        <w:r>
                          <w:rPr>
                            <w:sz w:val="24"/>
                          </w:rPr>
                          <w:t>0.99</w:t>
                        </w:r>
                      </w:p>
                    </w:tc>
                  </w:tr>
                  <w:tr>
                    <w:trPr>
                      <w:trHeight w:val="293" w:hRule="atLeast"/>
                    </w:trPr>
                    <w:tc>
                      <w:tcPr>
                        <w:tcW w:w="965" w:type="dxa"/>
                      </w:tcPr>
                      <w:p>
                        <w:pPr>
                          <w:pStyle w:val="TableParagraph"/>
                          <w:spacing w:line="266" w:lineRule="exact"/>
                          <w:rPr>
                            <w:sz w:val="24"/>
                          </w:rPr>
                        </w:pPr>
                        <w:r>
                          <w:rPr>
                            <w:sz w:val="24"/>
                          </w:rPr>
                          <w:t>0.80</w:t>
                        </w:r>
                      </w:p>
                    </w:tc>
                    <w:tc>
                      <w:tcPr>
                        <w:tcW w:w="1328" w:type="dxa"/>
                      </w:tcPr>
                      <w:p>
                        <w:pPr>
                          <w:pStyle w:val="TableParagraph"/>
                          <w:spacing w:line="266" w:lineRule="exact"/>
                          <w:ind w:left="95"/>
                          <w:rPr>
                            <w:sz w:val="24"/>
                          </w:rPr>
                        </w:pPr>
                        <w:r>
                          <w:rPr>
                            <w:sz w:val="24"/>
                          </w:rPr>
                          <w:t>0.99</w:t>
                        </w:r>
                      </w:p>
                    </w:tc>
                  </w:tr>
                  <w:tr>
                    <w:trPr>
                      <w:trHeight w:val="549" w:hRule="atLeast"/>
                    </w:trPr>
                    <w:tc>
                      <w:tcPr>
                        <w:tcW w:w="965" w:type="dxa"/>
                      </w:tcPr>
                      <w:p>
                        <w:pPr>
                          <w:pStyle w:val="TableParagraph"/>
                          <w:spacing w:before="164"/>
                          <w:rPr>
                            <w:sz w:val="24"/>
                          </w:rPr>
                        </w:pPr>
                        <w:r>
                          <w:rPr>
                            <w:sz w:val="24"/>
                          </w:rPr>
                          <w:t>0.84</w:t>
                        </w:r>
                      </w:p>
                    </w:tc>
                    <w:tc>
                      <w:tcPr>
                        <w:tcW w:w="1328" w:type="dxa"/>
                      </w:tcPr>
                      <w:p>
                        <w:pPr>
                          <w:pStyle w:val="TableParagraph"/>
                          <w:spacing w:before="164"/>
                          <w:ind w:left="95"/>
                          <w:rPr>
                            <w:sz w:val="24"/>
                          </w:rPr>
                        </w:pPr>
                        <w:r>
                          <w:rPr>
                            <w:sz w:val="24"/>
                          </w:rPr>
                          <w:t>0.99</w:t>
                        </w:r>
                      </w:p>
                    </w:tc>
                  </w:tr>
                  <w:tr>
                    <w:trPr>
                      <w:trHeight w:val="389" w:hRule="atLeast"/>
                    </w:trPr>
                    <w:tc>
                      <w:tcPr>
                        <w:tcW w:w="965" w:type="dxa"/>
                      </w:tcPr>
                      <w:p>
                        <w:pPr>
                          <w:pStyle w:val="TableParagraph"/>
                          <w:spacing w:before="83"/>
                          <w:rPr>
                            <w:sz w:val="24"/>
                          </w:rPr>
                        </w:pPr>
                        <w:r>
                          <w:rPr>
                            <w:sz w:val="24"/>
                          </w:rPr>
                          <w:t>0.80</w:t>
                        </w:r>
                      </w:p>
                    </w:tc>
                    <w:tc>
                      <w:tcPr>
                        <w:tcW w:w="1328" w:type="dxa"/>
                      </w:tcPr>
                      <w:p>
                        <w:pPr>
                          <w:pStyle w:val="TableParagraph"/>
                          <w:spacing w:before="83"/>
                          <w:ind w:left="95"/>
                          <w:rPr>
                            <w:sz w:val="24"/>
                          </w:rPr>
                        </w:pPr>
                        <w:r>
                          <w:rPr>
                            <w:sz w:val="24"/>
                          </w:rPr>
                          <w:t>0.99</w:t>
                        </w:r>
                      </w:p>
                    </w:tc>
                  </w:tr>
                  <w:tr>
                    <w:trPr>
                      <w:trHeight w:val="443" w:hRule="atLeast"/>
                    </w:trPr>
                    <w:tc>
                      <w:tcPr>
                        <w:tcW w:w="965" w:type="dxa"/>
                      </w:tcPr>
                      <w:p>
                        <w:pPr>
                          <w:pStyle w:val="TableParagraph"/>
                          <w:spacing w:line="261" w:lineRule="exact" w:before="162"/>
                          <w:rPr>
                            <w:b/>
                            <w:sz w:val="24"/>
                          </w:rPr>
                        </w:pPr>
                        <w:r>
                          <w:rPr>
                            <w:b/>
                            <w:sz w:val="24"/>
                          </w:rPr>
                          <w:t>0.94</w:t>
                        </w:r>
                      </w:p>
                    </w:tc>
                    <w:tc>
                      <w:tcPr>
                        <w:tcW w:w="1328" w:type="dxa"/>
                      </w:tcPr>
                      <w:p>
                        <w:pPr>
                          <w:pStyle w:val="TableParagraph"/>
                          <w:spacing w:line="261" w:lineRule="exact" w:before="162"/>
                          <w:ind w:left="95"/>
                          <w:rPr>
                            <w:sz w:val="24"/>
                          </w:rPr>
                        </w:pPr>
                        <w:r>
                          <w:rPr>
                            <w:sz w:val="24"/>
                          </w:rPr>
                          <w:t>0.98</w:t>
                        </w:r>
                      </w:p>
                    </w:tc>
                  </w:tr>
                </w:tbl>
                <w:p>
                  <w:pPr>
                    <w:pStyle w:val="BodyText"/>
                  </w:pPr>
                </w:p>
              </w:txbxContent>
            </v:textbox>
            <w10:wrap type="none"/>
          </v:shape>
        </w:pict>
      </w:r>
      <w:r>
        <w:rPr/>
        <w:pict>
          <v:shape style="position:absolute;margin-left:331.75pt;margin-top:3.84838pt;width:90.05pt;height:130.15pt;mso-position-horizontal-relative:page;mso-position-vertical-relative:paragraph;z-index:1573068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6"/>
                    <w:gridCol w:w="745"/>
                  </w:tblGrid>
                  <w:tr>
                    <w:trPr>
                      <w:trHeight w:val="357" w:hRule="atLeast"/>
                    </w:trPr>
                    <w:tc>
                      <w:tcPr>
                        <w:tcW w:w="1056" w:type="dxa"/>
                      </w:tcPr>
                      <w:p>
                        <w:pPr>
                          <w:pStyle w:val="TableParagraph"/>
                          <w:spacing w:line="338" w:lineRule="exact"/>
                          <w:ind w:left="1"/>
                          <w:rPr>
                            <w:rFonts w:ascii="Noto Sans Mono CJK HK"/>
                            <w:sz w:val="24"/>
                          </w:rPr>
                        </w:pPr>
                        <w:r>
                          <w:rPr>
                            <w:rFonts w:ascii="Noto Sans Mono CJK HK"/>
                            <w:sz w:val="24"/>
                          </w:rPr>
                          <w:t>Model</w:t>
                        </w:r>
                      </w:p>
                    </w:tc>
                    <w:tc>
                      <w:tcPr>
                        <w:tcW w:w="745" w:type="dxa"/>
                      </w:tcPr>
                      <w:p>
                        <w:pPr>
                          <w:pStyle w:val="TableParagraph"/>
                          <w:spacing w:line="338" w:lineRule="exact"/>
                          <w:ind w:left="94"/>
                          <w:rPr>
                            <w:rFonts w:ascii="Noto Sans Mono CJK HK"/>
                            <w:sz w:val="24"/>
                          </w:rPr>
                        </w:pPr>
                        <w:r>
                          <w:rPr>
                            <w:rFonts w:ascii="Noto Sans Mono CJK HK"/>
                            <w:sz w:val="24"/>
                          </w:rPr>
                          <w:t>Dice</w:t>
                        </w:r>
                      </w:p>
                    </w:tc>
                  </w:tr>
                  <w:tr>
                    <w:trPr>
                      <w:trHeight w:val="499" w:hRule="atLeast"/>
                    </w:trPr>
                    <w:tc>
                      <w:tcPr>
                        <w:tcW w:w="1056" w:type="dxa"/>
                      </w:tcPr>
                      <w:p>
                        <w:pPr>
                          <w:pStyle w:val="TableParagraph"/>
                          <w:spacing w:line="464" w:lineRule="exact"/>
                          <w:ind w:left="1"/>
                          <w:rPr>
                            <w:rFonts w:ascii="Noto Sans Mono CJK HK"/>
                            <w:sz w:val="24"/>
                          </w:rPr>
                        </w:pPr>
                        <w:r>
                          <w:rPr>
                            <w:rFonts w:ascii="Noto Sans Mono CJK HK"/>
                            <w:sz w:val="24"/>
                          </w:rPr>
                          <w:t>U-Net</w:t>
                        </w:r>
                      </w:p>
                    </w:tc>
                    <w:tc>
                      <w:tcPr>
                        <w:tcW w:w="745" w:type="dxa"/>
                      </w:tcPr>
                      <w:p>
                        <w:pPr>
                          <w:pStyle w:val="TableParagraph"/>
                          <w:spacing w:before="137"/>
                          <w:ind w:left="94"/>
                          <w:rPr>
                            <w:sz w:val="24"/>
                          </w:rPr>
                        </w:pPr>
                        <w:r>
                          <w:rPr>
                            <w:sz w:val="24"/>
                          </w:rPr>
                          <w:t>0.73</w:t>
                        </w:r>
                      </w:p>
                    </w:tc>
                  </w:tr>
                  <w:tr>
                    <w:trPr>
                      <w:trHeight w:val="445" w:hRule="atLeast"/>
                    </w:trPr>
                    <w:tc>
                      <w:tcPr>
                        <w:tcW w:w="1056" w:type="dxa"/>
                      </w:tcPr>
                      <w:p>
                        <w:pPr>
                          <w:pStyle w:val="TableParagraph"/>
                          <w:spacing w:line="425" w:lineRule="exact"/>
                          <w:ind w:left="1"/>
                          <w:rPr>
                            <w:rFonts w:ascii="Noto Sans Mono CJK HK"/>
                            <w:sz w:val="24"/>
                          </w:rPr>
                        </w:pPr>
                        <w:r>
                          <w:rPr>
                            <w:rFonts w:ascii="Noto Sans Mono CJK HK"/>
                            <w:sz w:val="24"/>
                          </w:rPr>
                          <w:t>ResUNet</w:t>
                        </w:r>
                      </w:p>
                    </w:tc>
                    <w:tc>
                      <w:tcPr>
                        <w:tcW w:w="745" w:type="dxa"/>
                      </w:tcPr>
                      <w:p>
                        <w:pPr>
                          <w:pStyle w:val="TableParagraph"/>
                          <w:spacing w:before="62"/>
                          <w:ind w:left="94"/>
                          <w:rPr>
                            <w:sz w:val="24"/>
                          </w:rPr>
                        </w:pPr>
                        <w:r>
                          <w:rPr>
                            <w:sz w:val="24"/>
                          </w:rPr>
                          <w:t>0.76</w:t>
                        </w:r>
                      </w:p>
                    </w:tc>
                  </w:tr>
                  <w:tr>
                    <w:trPr>
                      <w:trHeight w:val="466" w:hRule="atLeast"/>
                    </w:trPr>
                    <w:tc>
                      <w:tcPr>
                        <w:tcW w:w="1056" w:type="dxa"/>
                      </w:tcPr>
                      <w:p>
                        <w:pPr>
                          <w:pStyle w:val="TableParagraph"/>
                          <w:spacing w:line="447" w:lineRule="exact"/>
                          <w:ind w:left="1"/>
                          <w:rPr>
                            <w:rFonts w:ascii="Noto Sans Mono CJK HK"/>
                            <w:sz w:val="24"/>
                          </w:rPr>
                        </w:pPr>
                        <w:r>
                          <w:rPr>
                            <w:rFonts w:ascii="Noto Sans Mono CJK HK"/>
                            <w:sz w:val="24"/>
                          </w:rPr>
                          <w:t>Pix2pix</w:t>
                        </w:r>
                      </w:p>
                    </w:tc>
                    <w:tc>
                      <w:tcPr>
                        <w:tcW w:w="745" w:type="dxa"/>
                      </w:tcPr>
                      <w:p>
                        <w:pPr>
                          <w:pStyle w:val="TableParagraph"/>
                          <w:spacing w:before="82"/>
                          <w:ind w:left="94"/>
                          <w:rPr>
                            <w:sz w:val="24"/>
                          </w:rPr>
                        </w:pPr>
                        <w:r>
                          <w:rPr>
                            <w:sz w:val="24"/>
                          </w:rPr>
                          <w:t>0.58</w:t>
                        </w:r>
                      </w:p>
                    </w:tc>
                  </w:tr>
                  <w:tr>
                    <w:trPr>
                      <w:trHeight w:val="468" w:hRule="atLeast"/>
                    </w:trPr>
                    <w:tc>
                      <w:tcPr>
                        <w:tcW w:w="1056" w:type="dxa"/>
                      </w:tcPr>
                      <w:p>
                        <w:pPr>
                          <w:pStyle w:val="TableParagraph"/>
                          <w:spacing w:line="448" w:lineRule="exact"/>
                          <w:ind w:left="1"/>
                          <w:rPr>
                            <w:rFonts w:ascii="Noto Sans Mono CJK HK"/>
                            <w:sz w:val="24"/>
                          </w:rPr>
                        </w:pPr>
                        <w:r>
                          <w:rPr>
                            <w:rFonts w:ascii="Noto Sans Mono CJK HK"/>
                            <w:sz w:val="24"/>
                          </w:rPr>
                          <w:t>Att-UNet</w:t>
                        </w:r>
                      </w:p>
                    </w:tc>
                    <w:tc>
                      <w:tcPr>
                        <w:tcW w:w="745" w:type="dxa"/>
                      </w:tcPr>
                      <w:p>
                        <w:pPr>
                          <w:pStyle w:val="TableParagraph"/>
                          <w:spacing w:before="83"/>
                          <w:ind w:left="94"/>
                          <w:rPr>
                            <w:sz w:val="24"/>
                          </w:rPr>
                        </w:pPr>
                        <w:r>
                          <w:rPr>
                            <w:sz w:val="24"/>
                          </w:rPr>
                          <w:t>0.76</w:t>
                        </w:r>
                      </w:p>
                    </w:tc>
                  </w:tr>
                  <w:tr>
                    <w:trPr>
                      <w:trHeight w:val="364" w:hRule="atLeast"/>
                    </w:trPr>
                    <w:tc>
                      <w:tcPr>
                        <w:tcW w:w="1056" w:type="dxa"/>
                      </w:tcPr>
                      <w:p>
                        <w:pPr>
                          <w:pStyle w:val="TableParagraph"/>
                          <w:spacing w:line="345" w:lineRule="exact"/>
                          <w:ind w:left="1"/>
                          <w:rPr>
                            <w:rFonts w:ascii="Noto Sans Mono CJK HK"/>
                            <w:sz w:val="24"/>
                          </w:rPr>
                        </w:pPr>
                        <w:r>
                          <w:rPr>
                            <w:rFonts w:ascii="Noto Sans Mono CJK HK"/>
                            <w:sz w:val="24"/>
                          </w:rPr>
                          <w:t>2D-VNet</w:t>
                        </w:r>
                      </w:p>
                    </w:tc>
                    <w:tc>
                      <w:tcPr>
                        <w:tcW w:w="745" w:type="dxa"/>
                      </w:tcPr>
                      <w:p>
                        <w:pPr>
                          <w:pStyle w:val="TableParagraph"/>
                          <w:spacing w:line="261" w:lineRule="exact" w:before="83"/>
                          <w:ind w:left="94"/>
                          <w:rPr>
                            <w:sz w:val="24"/>
                          </w:rPr>
                        </w:pPr>
                        <w:r>
                          <w:rPr>
                            <w:sz w:val="24"/>
                          </w:rPr>
                          <w:t>0.74</w:t>
                        </w:r>
                      </w:p>
                    </w:tc>
                  </w:tr>
                </w:tbl>
                <w:p>
                  <w:pPr>
                    <w:pStyle w:val="BodyText"/>
                  </w:pPr>
                </w:p>
              </w:txbxContent>
            </v:textbox>
            <w10:wrap type="none"/>
          </v:shape>
        </w:pict>
      </w:r>
      <w:r>
        <w:rPr/>
        <w:t>accuracy that are generally overlooked by current Mask</w:t>
      </w:r>
      <w:r>
        <w:rPr>
          <w:spacing w:val="-22"/>
        </w:rPr>
        <w:t> </w:t>
      </w:r>
      <w:r>
        <w:rPr/>
        <w:t>Dice </w:t>
      </w:r>
      <w:r>
        <w:rPr>
          <w:w w:val="95"/>
        </w:rPr>
        <w:t>based</w:t>
      </w:r>
      <w:r>
        <w:rPr>
          <w:spacing w:val="-22"/>
          <w:w w:val="95"/>
        </w:rPr>
        <w:t> </w:t>
      </w:r>
      <w:r>
        <w:rPr>
          <w:w w:val="95"/>
        </w:rPr>
        <w:t>evaluation</w:t>
      </w:r>
      <w:r>
        <w:rPr>
          <w:spacing w:val="-21"/>
          <w:w w:val="95"/>
        </w:rPr>
        <w:t> </w:t>
      </w:r>
      <w:r>
        <w:rPr>
          <w:w w:val="95"/>
        </w:rPr>
        <w:t>metrics</w:t>
      </w:r>
      <w:r>
        <w:rPr>
          <w:spacing w:val="-23"/>
          <w:w w:val="95"/>
        </w:rPr>
        <w:t> </w:t>
      </w:r>
      <w:r>
        <w:rPr>
          <w:w w:val="95"/>
        </w:rPr>
        <w:t>and</w:t>
      </w:r>
      <w:r>
        <w:rPr>
          <w:spacing w:val="-21"/>
          <w:w w:val="95"/>
        </w:rPr>
        <w:t> </w:t>
      </w:r>
      <w:r>
        <w:rPr>
          <w:w w:val="95"/>
        </w:rPr>
        <w:t>deep</w:t>
      </w:r>
      <w:r>
        <w:rPr>
          <w:spacing w:val="-22"/>
          <w:w w:val="95"/>
        </w:rPr>
        <w:t> </w:t>
      </w:r>
      <w:r>
        <w:rPr>
          <w:w w:val="95"/>
        </w:rPr>
        <w:t>learning</w:t>
      </w:r>
      <w:r>
        <w:rPr>
          <w:spacing w:val="-22"/>
          <w:w w:val="95"/>
        </w:rPr>
        <w:t> </w:t>
      </w:r>
      <w:r>
        <w:rPr>
          <w:w w:val="95"/>
        </w:rPr>
        <w:t>models.</w:t>
      </w:r>
      <w:r>
        <w:rPr>
          <w:spacing w:val="-39"/>
          <w:w w:val="95"/>
        </w:rPr>
        <w:t> </w:t>
      </w:r>
      <w:r>
        <w:rPr>
          <w:w w:val="95"/>
        </w:rPr>
        <w:t>The</w:t>
      </w:r>
      <w:r>
        <w:rPr>
          <w:spacing w:val="-18"/>
          <w:w w:val="95"/>
        </w:rPr>
        <w:t> </w:t>
      </w:r>
      <w:r>
        <w:rPr>
          <w:w w:val="95"/>
        </w:rPr>
        <w:t>adoption of the new boundary-sensitive evaluation metrics leads to rapid </w:t>
      </w:r>
      <w:r>
        <w:rPr>
          <w:w w:val="90"/>
        </w:rPr>
        <w:t>progress</w:t>
      </w:r>
      <w:r>
        <w:rPr>
          <w:spacing w:val="-7"/>
          <w:w w:val="90"/>
        </w:rPr>
        <w:t> </w:t>
      </w:r>
      <w:r>
        <w:rPr>
          <w:w w:val="90"/>
        </w:rPr>
        <w:t>in</w:t>
      </w:r>
      <w:r>
        <w:rPr>
          <w:spacing w:val="-2"/>
          <w:w w:val="90"/>
        </w:rPr>
        <w:t> </w:t>
      </w:r>
      <w:r>
        <w:rPr>
          <w:w w:val="90"/>
        </w:rPr>
        <w:t>segmentation</w:t>
      </w:r>
      <w:r>
        <w:rPr>
          <w:spacing w:val="-6"/>
          <w:w w:val="90"/>
        </w:rPr>
        <w:t> </w:t>
      </w:r>
      <w:r>
        <w:rPr>
          <w:w w:val="90"/>
        </w:rPr>
        <w:t>methods</w:t>
      </w:r>
      <w:r>
        <w:rPr>
          <w:spacing w:val="-6"/>
          <w:w w:val="90"/>
        </w:rPr>
        <w:t> </w:t>
      </w:r>
      <w:r>
        <w:rPr>
          <w:w w:val="90"/>
        </w:rPr>
        <w:t>that</w:t>
      </w:r>
      <w:r>
        <w:rPr>
          <w:spacing w:val="-3"/>
          <w:w w:val="90"/>
        </w:rPr>
        <w:t> </w:t>
      </w:r>
      <w:r>
        <w:rPr>
          <w:w w:val="90"/>
        </w:rPr>
        <w:t>enables</w:t>
      </w:r>
      <w:r>
        <w:rPr>
          <w:spacing w:val="-4"/>
          <w:w w:val="90"/>
        </w:rPr>
        <w:t> </w:t>
      </w:r>
      <w:r>
        <w:rPr>
          <w:w w:val="90"/>
        </w:rPr>
        <w:t>the</w:t>
      </w:r>
      <w:r>
        <w:rPr>
          <w:spacing w:val="-5"/>
          <w:w w:val="90"/>
        </w:rPr>
        <w:t> </w:t>
      </w:r>
      <w:r>
        <w:rPr>
          <w:w w:val="90"/>
        </w:rPr>
        <w:t>improvement</w:t>
      </w:r>
      <w:r>
        <w:rPr>
          <w:spacing w:val="-6"/>
          <w:w w:val="90"/>
        </w:rPr>
        <w:t> </w:t>
      </w:r>
      <w:r>
        <w:rPr>
          <w:w w:val="90"/>
        </w:rPr>
        <w:t>of </w:t>
      </w:r>
      <w:r>
        <w:rPr>
          <w:w w:val="95"/>
        </w:rPr>
        <w:t>boundary</w:t>
      </w:r>
      <w:r>
        <w:rPr>
          <w:spacing w:val="-23"/>
          <w:w w:val="95"/>
        </w:rPr>
        <w:t> </w:t>
      </w:r>
      <w:r>
        <w:rPr>
          <w:w w:val="95"/>
        </w:rPr>
        <w:t>quality.The</w:t>
      </w:r>
      <w:r>
        <w:rPr>
          <w:spacing w:val="-19"/>
          <w:w w:val="95"/>
        </w:rPr>
        <w:t> </w:t>
      </w:r>
      <w:r>
        <w:rPr>
          <w:w w:val="95"/>
        </w:rPr>
        <w:t>optimal</w:t>
      </w:r>
      <w:r>
        <w:rPr>
          <w:spacing w:val="-18"/>
          <w:w w:val="95"/>
        </w:rPr>
        <w:t> </w:t>
      </w:r>
      <w:r>
        <w:rPr>
          <w:w w:val="95"/>
        </w:rPr>
        <w:t>configuration</w:t>
      </w:r>
      <w:r>
        <w:rPr>
          <w:spacing w:val="-17"/>
          <w:w w:val="95"/>
        </w:rPr>
        <w:t> </w:t>
      </w:r>
      <w:r>
        <w:rPr>
          <w:w w:val="95"/>
        </w:rPr>
        <w:t>of</w:t>
      </w:r>
      <w:r>
        <w:rPr>
          <w:spacing w:val="-20"/>
          <w:w w:val="95"/>
        </w:rPr>
        <w:t> </w:t>
      </w:r>
      <w:r>
        <w:rPr>
          <w:w w:val="95"/>
        </w:rPr>
        <w:t>focal</w:t>
      </w:r>
      <w:r>
        <w:rPr>
          <w:spacing w:val="-18"/>
          <w:w w:val="95"/>
        </w:rPr>
        <w:t> </w:t>
      </w:r>
      <w:r>
        <w:rPr>
          <w:w w:val="95"/>
        </w:rPr>
        <w:t>boundary</w:t>
      </w:r>
      <w:r>
        <w:rPr>
          <w:spacing w:val="-18"/>
          <w:w w:val="95"/>
        </w:rPr>
        <w:t> </w:t>
      </w:r>
      <w:r>
        <w:rPr>
          <w:w w:val="95"/>
        </w:rPr>
        <w:t>dice loss</w:t>
      </w:r>
      <w:r>
        <w:rPr>
          <w:spacing w:val="-11"/>
          <w:w w:val="95"/>
        </w:rPr>
        <w:t> </w:t>
      </w:r>
      <w:r>
        <w:rPr>
          <w:w w:val="95"/>
        </w:rPr>
        <w:t>is</w:t>
      </w:r>
      <w:r>
        <w:rPr>
          <w:spacing w:val="-8"/>
          <w:w w:val="95"/>
        </w:rPr>
        <w:t> </w:t>
      </w:r>
      <w:r>
        <w:rPr>
          <w:w w:val="95"/>
        </w:rPr>
        <w:t>performed</w:t>
      </w:r>
      <w:r>
        <w:rPr>
          <w:spacing w:val="-11"/>
          <w:w w:val="95"/>
        </w:rPr>
        <w:t> </w:t>
      </w:r>
      <w:r>
        <w:rPr>
          <w:w w:val="95"/>
        </w:rPr>
        <w:t>for</w:t>
      </w:r>
      <w:r>
        <w:rPr>
          <w:spacing w:val="-11"/>
          <w:w w:val="95"/>
        </w:rPr>
        <w:t> </w:t>
      </w:r>
      <w:r>
        <w:rPr>
          <w:w w:val="95"/>
        </w:rPr>
        <w:t>the</w:t>
      </w:r>
      <w:r>
        <w:rPr>
          <w:spacing w:val="-10"/>
          <w:w w:val="95"/>
        </w:rPr>
        <w:t> </w:t>
      </w:r>
      <w:r>
        <w:rPr>
          <w:w w:val="95"/>
        </w:rPr>
        <w:t>resultant</w:t>
      </w:r>
      <w:r>
        <w:rPr>
          <w:spacing w:val="-8"/>
          <w:w w:val="95"/>
        </w:rPr>
        <w:t> </w:t>
      </w:r>
      <w:r>
        <w:rPr>
          <w:w w:val="95"/>
        </w:rPr>
        <w:t>segments</w:t>
      </w:r>
      <w:r>
        <w:rPr>
          <w:spacing w:val="-13"/>
          <w:w w:val="95"/>
        </w:rPr>
        <w:t> </w:t>
      </w:r>
      <w:r>
        <w:rPr>
          <w:w w:val="95"/>
        </w:rPr>
        <w:t>of</w:t>
      </w:r>
      <w:r>
        <w:rPr>
          <w:spacing w:val="-15"/>
          <w:w w:val="95"/>
        </w:rPr>
        <w:t> </w:t>
      </w:r>
      <w:r>
        <w:rPr>
          <w:w w:val="95"/>
        </w:rPr>
        <w:t>imaged</w:t>
      </w:r>
      <w:r>
        <w:rPr>
          <w:spacing w:val="-12"/>
          <w:w w:val="95"/>
        </w:rPr>
        <w:t> </w:t>
      </w:r>
      <w:r>
        <w:rPr>
          <w:w w:val="95"/>
        </w:rPr>
        <w:t>tumors</w:t>
      </w:r>
      <w:r>
        <w:rPr>
          <w:spacing w:val="-14"/>
          <w:w w:val="95"/>
        </w:rPr>
        <w:t> </w:t>
      </w:r>
      <w:r>
        <w:rPr>
          <w:w w:val="95"/>
        </w:rPr>
        <w:t>as </w:t>
      </w:r>
      <w:r>
        <w:rPr/>
        <w:t>shown in Fig. 1. This focal boundary dice loss enables the </w:t>
      </w:r>
      <w:r>
        <w:rPr>
          <w:w w:val="95"/>
        </w:rPr>
        <w:t>construction</w:t>
      </w:r>
      <w:r>
        <w:rPr>
          <w:spacing w:val="-10"/>
          <w:w w:val="95"/>
        </w:rPr>
        <w:t> </w:t>
      </w:r>
      <w:r>
        <w:rPr>
          <w:w w:val="95"/>
        </w:rPr>
        <w:t>of</w:t>
      </w:r>
      <w:r>
        <w:rPr>
          <w:spacing w:val="-8"/>
          <w:w w:val="95"/>
        </w:rPr>
        <w:t> </w:t>
      </w:r>
      <w:r>
        <w:rPr>
          <w:w w:val="95"/>
        </w:rPr>
        <w:t>the</w:t>
      </w:r>
      <w:r>
        <w:rPr>
          <w:spacing w:val="-7"/>
          <w:w w:val="95"/>
        </w:rPr>
        <w:t> </w:t>
      </w:r>
      <w:r>
        <w:rPr>
          <w:w w:val="95"/>
        </w:rPr>
        <w:t>deep</w:t>
      </w:r>
      <w:r>
        <w:rPr>
          <w:spacing w:val="-9"/>
          <w:w w:val="95"/>
        </w:rPr>
        <w:t> </w:t>
      </w:r>
      <w:r>
        <w:rPr>
          <w:w w:val="95"/>
        </w:rPr>
        <w:t>learning</w:t>
      </w:r>
      <w:r>
        <w:rPr>
          <w:spacing w:val="-7"/>
          <w:w w:val="95"/>
        </w:rPr>
        <w:t> </w:t>
      </w:r>
      <w:r>
        <w:rPr>
          <w:w w:val="95"/>
        </w:rPr>
        <w:t>network</w:t>
      </w:r>
      <w:r>
        <w:rPr>
          <w:spacing w:val="-10"/>
          <w:w w:val="95"/>
        </w:rPr>
        <w:t> </w:t>
      </w:r>
      <w:r>
        <w:rPr>
          <w:w w:val="95"/>
        </w:rPr>
        <w:t>for</w:t>
      </w:r>
      <w:r>
        <w:rPr>
          <w:spacing w:val="-8"/>
          <w:w w:val="95"/>
        </w:rPr>
        <w:t> </w:t>
      </w:r>
      <w:r>
        <w:rPr>
          <w:w w:val="95"/>
        </w:rPr>
        <w:t>good</w:t>
      </w:r>
      <w:r>
        <w:rPr>
          <w:spacing w:val="-8"/>
          <w:w w:val="95"/>
        </w:rPr>
        <w:t> </w:t>
      </w:r>
      <w:r>
        <w:rPr>
          <w:w w:val="95"/>
        </w:rPr>
        <w:t>segmentation performance</w:t>
      </w:r>
      <w:r>
        <w:rPr>
          <w:spacing w:val="-22"/>
          <w:w w:val="95"/>
        </w:rPr>
        <w:t> </w:t>
      </w:r>
      <w:r>
        <w:rPr>
          <w:w w:val="95"/>
        </w:rPr>
        <w:t>in</w:t>
      </w:r>
      <w:r>
        <w:rPr>
          <w:spacing w:val="-20"/>
          <w:w w:val="95"/>
        </w:rPr>
        <w:t> </w:t>
      </w:r>
      <w:r>
        <w:rPr>
          <w:w w:val="95"/>
        </w:rPr>
        <w:t>all</w:t>
      </w:r>
      <w:r>
        <w:rPr>
          <w:spacing w:val="-19"/>
          <w:w w:val="95"/>
        </w:rPr>
        <w:t> </w:t>
      </w:r>
      <w:r>
        <w:rPr>
          <w:w w:val="95"/>
        </w:rPr>
        <w:t>tested</w:t>
      </w:r>
      <w:r>
        <w:rPr>
          <w:spacing w:val="-23"/>
          <w:w w:val="95"/>
        </w:rPr>
        <w:t> </w:t>
      </w:r>
      <w:r>
        <w:rPr>
          <w:w w:val="95"/>
        </w:rPr>
        <w:t>MRIs</w:t>
      </w:r>
      <w:r>
        <w:rPr>
          <w:spacing w:val="-20"/>
          <w:w w:val="95"/>
        </w:rPr>
        <w:t> </w:t>
      </w:r>
      <w:r>
        <w:rPr>
          <w:w w:val="95"/>
        </w:rPr>
        <w:t>[4-5].</w:t>
      </w:r>
      <w:r>
        <w:rPr>
          <w:spacing w:val="-23"/>
          <w:w w:val="95"/>
        </w:rPr>
        <w:t> </w:t>
      </w:r>
      <w:r>
        <w:rPr>
          <w:w w:val="95"/>
        </w:rPr>
        <w:t>The</w:t>
      </w:r>
      <w:r>
        <w:rPr>
          <w:spacing w:val="-21"/>
          <w:w w:val="95"/>
        </w:rPr>
        <w:t> </w:t>
      </w:r>
      <w:r>
        <w:rPr>
          <w:w w:val="95"/>
        </w:rPr>
        <w:t>quantification</w:t>
      </w:r>
      <w:r>
        <w:rPr>
          <w:spacing w:val="-21"/>
          <w:w w:val="95"/>
        </w:rPr>
        <w:t> </w:t>
      </w:r>
      <w:r>
        <w:rPr>
          <w:w w:val="95"/>
        </w:rPr>
        <w:t>results</w:t>
      </w:r>
      <w:r>
        <w:rPr>
          <w:spacing w:val="-20"/>
          <w:w w:val="95"/>
        </w:rPr>
        <w:t> </w:t>
      </w:r>
      <w:r>
        <w:rPr>
          <w:w w:val="95"/>
        </w:rPr>
        <w:t>are </w:t>
      </w:r>
      <w:r>
        <w:rPr/>
        <w:t>listed in</w:t>
      </w:r>
      <w:r>
        <w:rPr>
          <w:spacing w:val="-6"/>
        </w:rPr>
        <w:t> </w:t>
      </w:r>
      <w:r>
        <w:rPr/>
        <w:t>Table</w:t>
      </w:r>
    </w:p>
    <w:p>
      <w:pPr>
        <w:pStyle w:val="BodyText"/>
        <w:spacing w:before="8"/>
        <w:rPr>
          <w:sz w:val="10"/>
        </w:rPr>
      </w:pPr>
    </w:p>
    <w:p>
      <w:pPr>
        <w:spacing w:after="0"/>
        <w:rPr>
          <w:sz w:val="10"/>
        </w:rPr>
        <w:sectPr>
          <w:type w:val="continuous"/>
          <w:pgSz w:w="11910" w:h="16840"/>
          <w:pgMar w:top="1020" w:bottom="280" w:left="500" w:right="320"/>
        </w:sectPr>
      </w:pPr>
    </w:p>
    <w:p>
      <w:pPr>
        <w:pStyle w:val="BodyText"/>
        <w:spacing w:before="8"/>
        <w:rPr>
          <w:sz w:val="25"/>
        </w:rPr>
      </w:pPr>
    </w:p>
    <w:p>
      <w:pPr>
        <w:pStyle w:val="BodyText"/>
        <w:spacing w:line="302" w:lineRule="auto"/>
        <w:ind w:left="299" w:right="38"/>
        <w:jc w:val="both"/>
      </w:pPr>
      <w:r>
        <w:rPr>
          <w:w w:val="90"/>
          <w:u w:val="single"/>
        </w:rPr>
        <w:t>Conclusion</w:t>
      </w:r>
      <w:r>
        <w:rPr>
          <w:w w:val="90"/>
        </w:rPr>
        <w:t>: The proposed deep learning model enables to achieve efficient discrimination between healthy and diseased tissues, and </w:t>
      </w:r>
      <w:r>
        <w:rPr/>
        <w:t>paves the way for the automatic diagnosis of breast cancer.</w:t>
      </w:r>
    </w:p>
    <w:p>
      <w:pPr>
        <w:spacing w:line="446" w:lineRule="exact" w:before="0"/>
        <w:ind w:left="299" w:right="0" w:firstLine="0"/>
        <w:jc w:val="left"/>
        <w:rPr>
          <w:sz w:val="24"/>
        </w:rPr>
      </w:pPr>
      <w:r>
        <w:rPr/>
        <w:br w:type="column"/>
      </w:r>
      <w:r>
        <w:rPr>
          <w:rFonts w:ascii="Noto Sans Mono CJK HK"/>
          <w:sz w:val="24"/>
        </w:rPr>
        <w:t>DenseUNet</w:t>
      </w:r>
      <w:r>
        <w:rPr>
          <w:rFonts w:ascii="Noto Sans Mono CJK HK"/>
          <w:spacing w:val="-71"/>
          <w:sz w:val="24"/>
        </w:rPr>
        <w:t> </w:t>
      </w:r>
      <w:r>
        <w:rPr>
          <w:position w:val="1"/>
          <w:sz w:val="24"/>
        </w:rPr>
        <w:t>0.76</w:t>
      </w:r>
    </w:p>
    <w:p>
      <w:pPr>
        <w:tabs>
          <w:tab w:pos="1892" w:val="right" w:leader="none"/>
        </w:tabs>
        <w:spacing w:line="476" w:lineRule="exact" w:before="0"/>
        <w:ind w:left="299" w:right="0" w:firstLine="0"/>
        <w:jc w:val="left"/>
        <w:rPr>
          <w:b/>
          <w:sz w:val="24"/>
        </w:rPr>
      </w:pPr>
      <w:r>
        <w:rPr>
          <w:rFonts w:ascii="Noto Sans Mono CJK HK"/>
          <w:sz w:val="24"/>
        </w:rPr>
        <w:t>Our</w:t>
        <w:tab/>
      </w:r>
      <w:r>
        <w:rPr>
          <w:b/>
          <w:position w:val="1"/>
          <w:sz w:val="24"/>
        </w:rPr>
        <w:t>0.82</w:t>
      </w:r>
    </w:p>
    <w:p>
      <w:pPr>
        <w:pStyle w:val="BodyText"/>
        <w:spacing w:line="20" w:lineRule="exact"/>
        <w:ind w:left="293"/>
        <w:rPr>
          <w:sz w:val="2"/>
        </w:rPr>
      </w:pPr>
      <w:r>
        <w:rPr>
          <w:sz w:val="2"/>
        </w:rPr>
        <w:pict>
          <v:group style="width:213.5pt;height:.5pt;mso-position-horizontal-relative:char;mso-position-vertical-relative:line" coordorigin="0,0" coordsize="4270,10">
            <v:line style="position:absolute" from="0,5" to="4270,5" stroked="true" strokeweight=".48pt" strokecolor="#000000">
              <v:stroke dashstyle="solid"/>
            </v:line>
          </v:group>
        </w:pict>
      </w:r>
      <w:r>
        <w:rPr>
          <w:sz w:val="2"/>
        </w:rPr>
      </w:r>
    </w:p>
    <w:p>
      <w:pPr>
        <w:spacing w:after="0" w:line="20" w:lineRule="exact"/>
        <w:rPr>
          <w:sz w:val="2"/>
        </w:rPr>
        <w:sectPr>
          <w:type w:val="continuous"/>
          <w:pgSz w:w="11910" w:h="16840"/>
          <w:pgMar w:top="1020" w:bottom="280" w:left="500" w:right="320"/>
          <w:cols w:num="2" w:equalWidth="0">
            <w:col w:w="5157" w:space="679"/>
            <w:col w:w="5254"/>
          </w:cols>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
        <w:rPr>
          <w:b/>
          <w:sz w:val="20"/>
        </w:rPr>
      </w:pPr>
    </w:p>
    <w:p>
      <w:pPr>
        <w:pStyle w:val="Heading2"/>
        <w:ind w:left="5471"/>
      </w:pPr>
      <w:bookmarkStart w:name="Image" w:id="2"/>
      <w:bookmarkEnd w:id="2"/>
      <w:r>
        <w:rPr>
          <w:b w:val="0"/>
        </w:rPr>
      </w:r>
      <w:r>
        <w:rPr>
          <w:color w:val="BE5A13"/>
        </w:rPr>
        <w:t>Recent Publications (minimum 5)</w:t>
      </w:r>
    </w:p>
    <w:p>
      <w:pPr>
        <w:spacing w:after="0"/>
        <w:sectPr>
          <w:type w:val="continuous"/>
          <w:pgSz w:w="11910" w:h="16840"/>
          <w:pgMar w:top="1020" w:bottom="280" w:left="500" w:right="320"/>
        </w:sectPr>
      </w:pPr>
    </w:p>
    <w:p>
      <w:pPr>
        <w:pStyle w:val="ListParagraph"/>
        <w:numPr>
          <w:ilvl w:val="0"/>
          <w:numId w:val="1"/>
        </w:numPr>
        <w:tabs>
          <w:tab w:pos="607" w:val="left" w:leader="none"/>
        </w:tabs>
        <w:spacing w:line="235" w:lineRule="auto" w:before="158" w:after="0"/>
        <w:ind w:left="606" w:right="38" w:hanging="284"/>
        <w:jc w:val="both"/>
        <w:rPr>
          <w:sz w:val="18"/>
        </w:rPr>
      </w:pPr>
      <w:r>
        <w:rPr>
          <w:sz w:val="18"/>
        </w:rPr>
        <w:t>Cheng B. and Girshick R.B., Doll'ar P. and Berg A.C. and Kirillov A. (2021). Boundary IoU: Improving Object- Centric Image Segmentation Evaluation, 2021 IEEE/CVF Conference on Computer Vision and Pattern Recognition (CVPR), 2021:</w:t>
      </w:r>
      <w:r>
        <w:rPr>
          <w:spacing w:val="-4"/>
          <w:sz w:val="18"/>
        </w:rPr>
        <w:t> </w:t>
      </w:r>
      <w:r>
        <w:rPr>
          <w:sz w:val="18"/>
        </w:rPr>
        <w:t>15329-15337.</w:t>
      </w:r>
    </w:p>
    <w:p>
      <w:pPr>
        <w:pStyle w:val="ListParagraph"/>
        <w:numPr>
          <w:ilvl w:val="0"/>
          <w:numId w:val="1"/>
        </w:numPr>
        <w:tabs>
          <w:tab w:pos="607" w:val="left" w:leader="none"/>
        </w:tabs>
        <w:spacing w:line="235" w:lineRule="auto" w:before="107" w:after="0"/>
        <w:ind w:left="606" w:right="39" w:hanging="284"/>
        <w:jc w:val="both"/>
        <w:rPr>
          <w:sz w:val="18"/>
        </w:rPr>
      </w:pPr>
      <w:r>
        <w:rPr>
          <w:sz w:val="18"/>
        </w:rPr>
        <w:t>Taghanaki S.A., Zheng,Y. Zhou S.K.,Georgescu B., Sharma P., Xu D., Comaniciu D., and Hamarneh G. (2019). Combo loss: Handling input and output imbalance in multi-organ segmentation. Computerized Medical Imaging and Graphics,</w:t>
      </w:r>
      <w:r>
        <w:rPr>
          <w:spacing w:val="-2"/>
          <w:sz w:val="18"/>
        </w:rPr>
        <w:t> </w:t>
      </w:r>
      <w:r>
        <w:rPr>
          <w:sz w:val="18"/>
        </w:rPr>
        <w:t>75:24–33.</w:t>
      </w:r>
    </w:p>
    <w:p>
      <w:pPr>
        <w:pStyle w:val="ListParagraph"/>
        <w:numPr>
          <w:ilvl w:val="0"/>
          <w:numId w:val="1"/>
        </w:numPr>
        <w:tabs>
          <w:tab w:pos="607" w:val="left" w:leader="none"/>
        </w:tabs>
        <w:spacing w:line="235" w:lineRule="auto" w:before="106" w:after="0"/>
        <w:ind w:left="606" w:right="38" w:hanging="284"/>
        <w:jc w:val="both"/>
        <w:rPr>
          <w:sz w:val="18"/>
        </w:rPr>
      </w:pPr>
      <w:r>
        <w:rPr>
          <w:sz w:val="18"/>
        </w:rPr>
        <w:t>Yeung M., Sala E., Schönlieb C.B., Rundo L. (2022). Unified Focal loss: Generalising Dice and cross entropy- based losses to handle class imbalanced medical image segmentation. </w:t>
      </w:r>
      <w:r>
        <w:rPr>
          <w:i/>
          <w:sz w:val="18"/>
        </w:rPr>
        <w:t>Computerized medical imaging and </w:t>
      </w:r>
      <w:r>
        <w:rPr>
          <w:i/>
          <w:sz w:val="18"/>
        </w:rPr>
        <w:t>graphic</w:t>
      </w:r>
      <w:r>
        <w:rPr>
          <w:sz w:val="18"/>
        </w:rPr>
        <w:t>,</w:t>
      </w:r>
      <w:r>
        <w:rPr>
          <w:spacing w:val="-5"/>
          <w:sz w:val="18"/>
        </w:rPr>
        <w:t> </w:t>
      </w:r>
      <w:r>
        <w:rPr>
          <w:sz w:val="18"/>
        </w:rPr>
        <w:t>95:102026.</w:t>
      </w:r>
    </w:p>
    <w:p>
      <w:pPr>
        <w:pStyle w:val="ListParagraph"/>
        <w:numPr>
          <w:ilvl w:val="0"/>
          <w:numId w:val="1"/>
        </w:numPr>
        <w:tabs>
          <w:tab w:pos="607" w:val="left" w:leader="none"/>
        </w:tabs>
        <w:spacing w:line="235" w:lineRule="auto" w:before="65" w:after="0"/>
        <w:ind w:left="606" w:right="622" w:hanging="284"/>
        <w:jc w:val="both"/>
        <w:rPr>
          <w:rFonts w:ascii="Times New Roman" w:hAnsi="Times New Roman"/>
          <w:sz w:val="18"/>
        </w:rPr>
      </w:pPr>
      <w:r>
        <w:rPr>
          <w:rFonts w:ascii="Times New Roman" w:hAnsi="Times New Roman"/>
          <w:spacing w:val="-1"/>
          <w:sz w:val="18"/>
        </w:rPr>
        <w:br w:type="column"/>
      </w:r>
      <w:r>
        <w:rPr>
          <w:rFonts w:ascii="Times New Roman" w:hAnsi="Times New Roman"/>
          <w:sz w:val="18"/>
        </w:rPr>
        <w:t>Yin, X.X., Ng, B.WH., Yang, Q. et al. (2012) Anatomical landmark localization in breast dynamic contrast-enhanced MR imaging. </w:t>
      </w:r>
      <w:r>
        <w:rPr>
          <w:rFonts w:ascii="Times New Roman" w:hAnsi="Times New Roman"/>
          <w:i/>
          <w:sz w:val="18"/>
        </w:rPr>
        <w:t>Med Biol Eng Comput </w:t>
      </w:r>
      <w:r>
        <w:rPr>
          <w:rFonts w:ascii="Times New Roman" w:hAnsi="Times New Roman"/>
          <w:sz w:val="18"/>
        </w:rPr>
        <w:t>50:</w:t>
      </w:r>
      <w:r>
        <w:rPr>
          <w:rFonts w:ascii="Times New Roman" w:hAnsi="Times New Roman"/>
          <w:spacing w:val="-6"/>
          <w:sz w:val="18"/>
        </w:rPr>
        <w:t> </w:t>
      </w:r>
      <w:r>
        <w:rPr>
          <w:rFonts w:ascii="Times New Roman" w:hAnsi="Times New Roman"/>
          <w:sz w:val="18"/>
        </w:rPr>
        <w:t>91–101</w:t>
      </w:r>
    </w:p>
    <w:p>
      <w:pPr>
        <w:pStyle w:val="BodyText"/>
        <w:spacing w:before="10"/>
        <w:rPr>
          <w:rFonts w:ascii="Times New Roman"/>
          <w:sz w:val="17"/>
        </w:rPr>
      </w:pPr>
    </w:p>
    <w:p>
      <w:pPr>
        <w:pStyle w:val="ListParagraph"/>
        <w:numPr>
          <w:ilvl w:val="0"/>
          <w:numId w:val="1"/>
        </w:numPr>
        <w:tabs>
          <w:tab w:pos="607" w:val="left" w:leader="none"/>
        </w:tabs>
        <w:spacing w:line="215" w:lineRule="exact" w:before="0" w:after="0"/>
        <w:ind w:left="606" w:right="0" w:hanging="284"/>
        <w:jc w:val="both"/>
        <w:rPr>
          <w:rFonts w:ascii="Times New Roman"/>
          <w:sz w:val="18"/>
        </w:rPr>
      </w:pPr>
      <w:r>
        <w:rPr>
          <w:rFonts w:ascii="Times New Roman"/>
          <w:sz w:val="18"/>
        </w:rPr>
        <w:t>Yin</w:t>
      </w:r>
      <w:r>
        <w:rPr>
          <w:rFonts w:ascii="Times New Roman"/>
          <w:spacing w:val="12"/>
          <w:sz w:val="18"/>
        </w:rPr>
        <w:t> </w:t>
      </w:r>
      <w:r>
        <w:rPr>
          <w:rFonts w:ascii="Times New Roman"/>
          <w:sz w:val="18"/>
        </w:rPr>
        <w:t>X.X.,</w:t>
      </w:r>
      <w:r>
        <w:rPr>
          <w:rFonts w:ascii="Times New Roman"/>
          <w:spacing w:val="15"/>
          <w:sz w:val="18"/>
        </w:rPr>
        <w:t> </w:t>
      </w:r>
      <w:r>
        <w:rPr>
          <w:rFonts w:ascii="Times New Roman"/>
          <w:sz w:val="18"/>
        </w:rPr>
        <w:t>Hadjiloucas</w:t>
      </w:r>
      <w:r>
        <w:rPr>
          <w:rFonts w:ascii="Times New Roman"/>
          <w:spacing w:val="13"/>
          <w:sz w:val="18"/>
        </w:rPr>
        <w:t> </w:t>
      </w:r>
      <w:r>
        <w:rPr>
          <w:rFonts w:ascii="Times New Roman"/>
          <w:sz w:val="18"/>
        </w:rPr>
        <w:t>S.,</w:t>
      </w:r>
      <w:r>
        <w:rPr>
          <w:rFonts w:ascii="Times New Roman"/>
          <w:spacing w:val="13"/>
          <w:sz w:val="18"/>
        </w:rPr>
        <w:t> </w:t>
      </w:r>
      <w:r>
        <w:rPr>
          <w:rFonts w:ascii="Times New Roman"/>
          <w:sz w:val="18"/>
        </w:rPr>
        <w:t>Zhang</w:t>
      </w:r>
      <w:r>
        <w:rPr>
          <w:rFonts w:ascii="Times New Roman"/>
          <w:spacing w:val="12"/>
          <w:sz w:val="18"/>
        </w:rPr>
        <w:t> </w:t>
      </w:r>
      <w:r>
        <w:rPr>
          <w:rFonts w:ascii="Times New Roman"/>
          <w:sz w:val="18"/>
        </w:rPr>
        <w:t>Y.,</w:t>
      </w:r>
      <w:r>
        <w:rPr>
          <w:rFonts w:ascii="Times New Roman"/>
          <w:spacing w:val="15"/>
          <w:sz w:val="18"/>
        </w:rPr>
        <w:t> </w:t>
      </w:r>
      <w:r>
        <w:rPr>
          <w:rFonts w:ascii="Times New Roman"/>
          <w:sz w:val="18"/>
        </w:rPr>
        <w:t>Su</w:t>
      </w:r>
      <w:r>
        <w:rPr>
          <w:rFonts w:ascii="Times New Roman"/>
          <w:spacing w:val="13"/>
          <w:sz w:val="18"/>
        </w:rPr>
        <w:t> </w:t>
      </w:r>
      <w:r>
        <w:rPr>
          <w:rFonts w:ascii="Times New Roman"/>
          <w:sz w:val="18"/>
        </w:rPr>
        <w:t>M.Y.,</w:t>
      </w:r>
      <w:r>
        <w:rPr>
          <w:rFonts w:ascii="Times New Roman"/>
          <w:spacing w:val="12"/>
          <w:sz w:val="18"/>
        </w:rPr>
        <w:t> </w:t>
      </w:r>
      <w:r>
        <w:rPr>
          <w:rFonts w:ascii="Times New Roman"/>
          <w:sz w:val="18"/>
        </w:rPr>
        <w:t>Miao</w:t>
      </w:r>
      <w:r>
        <w:rPr>
          <w:rFonts w:ascii="Times New Roman"/>
          <w:spacing w:val="13"/>
          <w:sz w:val="18"/>
        </w:rPr>
        <w:t> </w:t>
      </w:r>
      <w:r>
        <w:rPr>
          <w:rFonts w:ascii="Times New Roman"/>
          <w:sz w:val="18"/>
        </w:rPr>
        <w:t>Y.,</w:t>
      </w:r>
      <w:r>
        <w:rPr>
          <w:rFonts w:ascii="Times New Roman"/>
          <w:spacing w:val="12"/>
          <w:sz w:val="18"/>
        </w:rPr>
        <w:t> </w:t>
      </w:r>
      <w:r>
        <w:rPr>
          <w:rFonts w:ascii="Times New Roman"/>
          <w:sz w:val="18"/>
        </w:rPr>
        <w:t>Abbott</w:t>
      </w:r>
    </w:p>
    <w:p>
      <w:pPr>
        <w:spacing w:line="240" w:lineRule="auto" w:before="0"/>
        <w:ind w:left="606" w:right="624" w:firstLine="0"/>
        <w:jc w:val="both"/>
        <w:rPr>
          <w:rFonts w:ascii="Times New Roman"/>
          <w:sz w:val="18"/>
        </w:rPr>
      </w:pPr>
      <w:r>
        <w:rPr>
          <w:rFonts w:ascii="Times New Roman"/>
          <w:sz w:val="18"/>
        </w:rPr>
        <w:t>D. (2016). </w:t>
      </w:r>
      <w:hyperlink r:id="rId6">
        <w:r>
          <w:rPr>
            <w:rFonts w:ascii="Times New Roman"/>
            <w:sz w:val="18"/>
          </w:rPr>
          <w:t>Pattern identification of biomedical images with time</w:t>
        </w:r>
      </w:hyperlink>
      <w:r>
        <w:rPr>
          <w:rFonts w:ascii="Times New Roman"/>
          <w:sz w:val="18"/>
        </w:rPr>
        <w:t> series: Contrasting THz pulse imaging with DCE-MRIs. </w:t>
      </w:r>
      <w:r>
        <w:rPr>
          <w:rFonts w:ascii="Times New Roman"/>
          <w:i/>
          <w:sz w:val="18"/>
        </w:rPr>
        <w:t>Artificial intelligence in medicine</w:t>
      </w:r>
      <w:r>
        <w:rPr>
          <w:rFonts w:ascii="Times New Roman"/>
          <w:sz w:val="18"/>
        </w:rPr>
        <w:t>,</w:t>
      </w:r>
      <w:r>
        <w:rPr>
          <w:rFonts w:ascii="Times New Roman"/>
          <w:spacing w:val="-6"/>
          <w:sz w:val="18"/>
        </w:rPr>
        <w:t> </w:t>
      </w:r>
      <w:r>
        <w:rPr>
          <w:rFonts w:ascii="Times New Roman"/>
          <w:sz w:val="18"/>
        </w:rPr>
        <w:t>67:1-23</w:t>
      </w:r>
    </w:p>
    <w:p>
      <w:pPr>
        <w:pStyle w:val="BodyText"/>
        <w:spacing w:before="9"/>
        <w:rPr>
          <w:rFonts w:ascii="Times New Roman"/>
          <w:sz w:val="17"/>
        </w:rPr>
      </w:pPr>
    </w:p>
    <w:p>
      <w:pPr>
        <w:pStyle w:val="ListParagraph"/>
        <w:numPr>
          <w:ilvl w:val="0"/>
          <w:numId w:val="1"/>
        </w:numPr>
        <w:tabs>
          <w:tab w:pos="607" w:val="left" w:leader="none"/>
        </w:tabs>
        <w:spacing w:line="235" w:lineRule="auto" w:before="0" w:after="0"/>
        <w:ind w:left="606" w:right="624" w:hanging="284"/>
        <w:jc w:val="both"/>
        <w:rPr>
          <w:rFonts w:ascii="Times New Roman"/>
          <w:sz w:val="18"/>
        </w:rPr>
      </w:pPr>
      <w:r>
        <w:rPr>
          <w:rFonts w:ascii="Times New Roman"/>
          <w:sz w:val="18"/>
        </w:rPr>
        <w:t>Yin X.X., Hadjiloucas S., Zhang Y. (2016). </w:t>
      </w:r>
      <w:hyperlink r:id="rId7">
        <w:r>
          <w:rPr>
            <w:rFonts w:ascii="Times New Roman"/>
            <w:i/>
            <w:sz w:val="18"/>
          </w:rPr>
          <w:t>Pattern</w:t>
        </w:r>
      </w:hyperlink>
      <w:r>
        <w:rPr>
          <w:rFonts w:ascii="Times New Roman"/>
          <w:i/>
          <w:sz w:val="18"/>
        </w:rPr>
        <w:t> </w:t>
      </w:r>
      <w:r>
        <w:rPr>
          <w:rFonts w:ascii="Times New Roman"/>
          <w:i/>
          <w:sz w:val="18"/>
        </w:rPr>
        <w:t>classification of medical images: computer aided diagnosis</w:t>
      </w:r>
      <w:r>
        <w:rPr>
          <w:rFonts w:ascii="Times New Roman"/>
          <w:sz w:val="18"/>
        </w:rPr>
        <w:t>, Springer International Publishing.</w:t>
      </w:r>
    </w:p>
    <w:p>
      <w:pPr>
        <w:spacing w:after="0" w:line="235" w:lineRule="auto"/>
        <w:jc w:val="both"/>
        <w:rPr>
          <w:rFonts w:ascii="Times New Roman"/>
          <w:sz w:val="18"/>
        </w:rPr>
        <w:sectPr>
          <w:pgSz w:w="11910" w:h="16840"/>
          <w:pgMar w:top="1040" w:bottom="280" w:left="500" w:right="320"/>
          <w:cols w:num="2" w:equalWidth="0">
            <w:col w:w="4750" w:space="401"/>
            <w:col w:w="5939"/>
          </w:cols>
        </w:sect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23"/>
        </w:rPr>
      </w:pPr>
    </w:p>
    <w:p>
      <w:pPr>
        <w:pStyle w:val="BodyText"/>
        <w:spacing w:line="40" w:lineRule="exact"/>
        <w:ind w:left="2344"/>
        <w:rPr>
          <w:rFonts w:ascii="Times New Roman"/>
          <w:sz w:val="4"/>
        </w:rPr>
      </w:pPr>
      <w:r>
        <w:rPr>
          <w:rFonts w:ascii="Times New Roman"/>
          <w:position w:val="0"/>
          <w:sz w:val="4"/>
        </w:rPr>
        <w:pict>
          <v:group style="width:311.05pt;height:2pt;mso-position-horizontal-relative:char;mso-position-vertical-relative:line" coordorigin="0,0" coordsize="6221,40">
            <v:rect style="position:absolute;left:0;top:0;width:6221;height:40" filled="true" fillcolor="#004080" stroked="false">
              <v:fill type="solid"/>
            </v:rect>
          </v:group>
        </w:pict>
      </w:r>
      <w:r>
        <w:rPr>
          <w:rFonts w:ascii="Times New Roman"/>
          <w:position w:val="0"/>
          <w:sz w:val="4"/>
        </w:rPr>
      </w:r>
    </w:p>
    <w:p>
      <w:pPr>
        <w:pStyle w:val="BodyText"/>
        <w:rPr>
          <w:rFonts w:ascii="Times New Roman"/>
          <w:sz w:val="20"/>
        </w:rPr>
      </w:pPr>
    </w:p>
    <w:p>
      <w:pPr>
        <w:pStyle w:val="BodyText"/>
        <w:rPr>
          <w:rFonts w:ascii="Times New Roman"/>
          <w:sz w:val="20"/>
        </w:rPr>
      </w:pPr>
    </w:p>
    <w:p>
      <w:pPr>
        <w:pStyle w:val="BodyText"/>
        <w:spacing w:before="3"/>
        <w:rPr>
          <w:rFonts w:ascii="Times New Roman"/>
          <w:sz w:val="24"/>
        </w:rPr>
      </w:pPr>
      <w:r>
        <w:rPr/>
        <w:drawing>
          <wp:anchor distT="0" distB="0" distL="0" distR="0" allowOverlap="1" layoutInCell="1" locked="0" behindDoc="0" simplePos="0" relativeHeight="6">
            <wp:simplePos x="0" y="0"/>
            <wp:positionH relativeFrom="page">
              <wp:posOffset>879347</wp:posOffset>
            </wp:positionH>
            <wp:positionV relativeFrom="paragraph">
              <wp:posOffset>201978</wp:posOffset>
            </wp:positionV>
            <wp:extent cx="997851" cy="1257300"/>
            <wp:effectExtent l="0" t="0" r="0" b="0"/>
            <wp:wrapTopAndBottom/>
            <wp:docPr id="1" name="image2.jpeg"/>
            <wp:cNvGraphicFramePr>
              <a:graphicFrameLocks noChangeAspect="1"/>
            </wp:cNvGraphicFramePr>
            <a:graphic>
              <a:graphicData uri="http://schemas.openxmlformats.org/drawingml/2006/picture">
                <pic:pic>
                  <pic:nvPicPr>
                    <pic:cNvPr id="2" name="image2.jpeg"/>
                    <pic:cNvPicPr/>
                  </pic:nvPicPr>
                  <pic:blipFill>
                    <a:blip r:embed="rId8" cstate="print"/>
                    <a:stretch>
                      <a:fillRect/>
                    </a:stretch>
                  </pic:blipFill>
                  <pic:spPr>
                    <a:xfrm>
                      <a:off x="0" y="0"/>
                      <a:ext cx="997851" cy="1257300"/>
                    </a:xfrm>
                    <a:prstGeom prst="rect">
                      <a:avLst/>
                    </a:prstGeom>
                  </pic:spPr>
                </pic:pic>
              </a:graphicData>
            </a:graphic>
          </wp:anchor>
        </w:drawing>
      </w:r>
      <w:r>
        <w:rPr/>
        <w:pict>
          <v:group style="position:absolute;margin-left:359.700012pt;margin-top:18.351954pt;width:186.05pt;height:65.8pt;mso-position-horizontal-relative:page;mso-position-vertical-relative:paragraph;z-index:-15725056;mso-wrap-distance-left:0;mso-wrap-distance-right:0" coordorigin="7194,367" coordsize="3721,1316">
            <v:shape style="position:absolute;left:7194;top:367;width:3721;height:1316" coordorigin="7194,367" coordsize="3721,1316" path="m10737,373l7372,373,7383,371,7394,369,7405,367,10704,367,10715,369,10726,371,10737,373xm10759,381l7350,381,7361,377,7371,373,10738,373,10748,377,10759,381xm10770,385l7339,385,7348,381,10761,381,10770,385xm10791,395l7318,395,7328,389,7338,385,10771,385,10781,389,10791,395xm10810,407l7299,407,7307,401,7308,399,7317,395,10792,395,10801,399,10802,401,10810,407xm10820,413l7289,413,7298,407,10811,407,10820,413xm7366,427l7272,427,7279,421,7280,419,7288,413,10821,413,10826,417,7412,417,7401,419,7393,419,7388,421,7384,421,7374,425,7375,425,7366,427xm10726,423l10716,419,10708,419,10697,417,10826,417,10829,419,10830,421,10725,421,10726,423xm7383,423l7384,421,7388,421,7383,423xm10837,427l10743,427,10734,425,10735,425,10725,421,10830,421,10837,427xm7349,435l7264,435,7271,427,7367,427,7357,431,7358,431,7349,435xm10845,435l10760,435,10751,431,10752,431,10742,427,10838,427,10845,435xm7333,443l7256,443,7263,435,7350,435,7341,439,7342,439,7333,443xm10853,443l10776,443,10767,439,10768,439,10759,435,10846,435,10853,443xm7262,523l7263,521,7209,521,7212,511,7213,509,7217,501,7222,491,7223,489,7228,481,7229,479,7234,471,7235,469,7241,461,7241,461,7248,453,7248,451,7255,443,7334,443,7328,447,7327,447,7318,453,7319,453,7311,459,7312,459,7307,463,7305,463,7298,471,7299,471,7292,477,7293,477,7288,483,7287,483,7281,491,7281,491,7277,497,7276,497,7272,505,7271,505,7266,513,7267,513,7262,523xm10783,449l10775,443,10854,443,10857,447,10782,447,10783,449xm7326,449l7327,447,7328,447,7326,449xm10804,465l10797,459,10798,459,10790,453,10791,453,10782,447,10857,447,10861,451,10861,453,10868,461,10868,461,10870,463,10804,463,10804,465xm7305,465l7305,463,7307,463,7305,465xm10823,485l10816,477,10817,477,10810,471,10811,471,10804,463,10870,463,10874,469,10875,471,10880,479,10881,481,10882,483,10822,483,10823,485xm7286,485l7287,483,7288,483,7286,485xm10834,499l10828,491,10828,491,10822,483,10882,483,10886,489,10887,491,10890,497,10833,497,10834,499xm7275,499l7276,497,7277,497,7275,499xm10838,507l10833,497,10890,497,10894,505,10838,505,10838,507xm7271,507l7271,505,7272,505,7271,507xm10847,523l10842,513,10843,513,10838,505,10894,505,10896,509,10897,511,10900,521,10846,521,10847,523xm7281,1559l7222,1559,7217,1549,7213,1539,7212,1539,7209,1529,7208,1527,7204,1517,7202,1507,7201,1505,7199,1493,7197,1483,7195,1471,7195,1471,7194,1459,7194,1455,7194,601,7194,589,7195,579,7195,577,7197,565,7199,555,7199,553,7201,543,7202,543,7204,533,7208,521,7263,521,7259,529,7259,529,7256,537,7256,537,7252,547,7253,547,7250,555,7250,555,7248,565,7248,565,7246,573,7246,573,7245,583,7245,583,7244,591,7244,591,7244,601,7244,1447,7244,1455,7245,1467,7245,1467,7246,1475,7246,1475,7248,1485,7248,1485,7250,1493,7250,1493,7253,1503,7253,1503,7256,1511,7255,1511,7259,1519,7258,1519,7263,1529,7263,1529,7267,1537,7267,1537,7271,1543,7271,1543,7276,1551,7275,1551,7281,1559xm10851,531l10846,521,10901,521,10903,529,10850,529,10851,531xm7258,531l7259,529,7259,529,7258,531xm10854,539l10850,529,10903,529,10905,533,10906,537,10854,537,10854,539xm7255,539l7256,537,7256,537,7255,539xm10859,557l10856,547,10857,547,10854,537,10906,537,10907,543,10908,543,10910,553,10910,555,10859,555,10859,557xm7250,557l7250,555,7250,555,7250,557xm10915,593l10865,593,10865,591,10865,591,10864,583,10864,583,10863,573,10863,573,10861,565,10861,565,10859,555,10910,555,10912,565,10912,567,10914,579,10915,589,10915,593xm7246,575l7246,573,7246,573,7246,575xm10863,575l10863,573,10863,573,10863,575xm7244,593l7244,591,7244,591,7244,593xm10865,593l10865,591,10865,591,10865,593xm7244,593l7244,593,7244,593,7244,593xm10915,1457l10865,1457,10865,1455,10865,601,10865,593,10865,593,10915,593,10915,601,10915,1455,10915,1457xm10865,1455l10865,1455,10865,1455,10865,1455xm7244,1457l7244,1457,7244,1455,7244,1457xm10914,1467l10864,1467,10865,1455,10865,1457,10915,1457,10915,1459,10914,1467xm7245,1467l7245,1467,7245,1465,7245,1467xm10912,1485l10861,1485,10863,1475,10863,1475,10864,1465,10864,1467,10914,1467,10914,1471,10912,1483,10912,1483,10912,1485xm7248,1485l7248,1485,7248,1483,7248,1485xm10908,1503l10856,1503,10859,1493,10859,1493,10861,1483,10861,1485,10912,1485,10910,1493,10908,1503xm7253,1503l7253,1503,7252,1501,7253,1503xm10900,1529l10846,1529,10851,1519,10850,1519,10854,1511,10854,1511,10857,1501,10856,1503,10908,1503,10908,1505,10907,1507,10905,1517,10901,1527,10900,1529xm7263,1529l7263,1529,7262,1527,7263,1529xm10897,1537l10842,1537,10847,1527,10846,1529,10900,1529,10897,1537xm7267,1537l7267,1537,7266,1535,7267,1537xm10887,1559l10828,1559,10834,1551,10833,1551,10838,1543,10838,1543,10843,1535,10842,1537,10897,1537,10897,1539,10896,1539,10892,1549,10887,1559xm7299,1579l7234,1579,7229,1569,7228,1569,7223,1559,7281,1559,7281,1557,7287,1565,7286,1565,7293,1573,7294,1573,7299,1579xm10878,1573l10816,1573,10823,1565,10822,1565,10828,1557,10828,1559,10886,1559,10881,1569,10880,1569,10878,1573xm7294,1573l7293,1573,7292,1571,7294,1573xm10875,1579l10810,1579,10817,1571,10816,1573,10878,1573,10875,1579xm7319,1597l7248,1597,7241,1589,7241,1587,7235,1579,7298,1579,7305,1585,7305,1585,7312,1591,7311,1591,7319,1597xm10861,1597l10790,1597,10798,1591,10797,1591,10804,1585,10804,1585,10811,1579,10874,1579,10868,1587,10868,1589,10861,1597xm7393,1629l7279,1629,7272,1623,7271,1621,7264,1615,7263,1613,7256,1607,7255,1605,7248,1597,7319,1597,7318,1595,7327,1601,7326,1601,7334,1607,7336,1607,7342,1611,7341,1611,7350,1615,7349,1615,7358,1619,7357,1619,7367,1621,7366,1621,7375,1625,7374,1625,7384,1627,7383,1627,7393,1629xm10853,1607l10775,1607,10783,1601,10782,1601,10791,1595,10790,1597,10861,1597,10854,1605,10853,1607xm7336,1607l7334,1607,7333,1605,7336,1607xm10830,1629l10716,1629,10726,1627,10725,1627,10735,1625,10734,1625,10743,1621,10742,1621,10752,1619,10751,1619,10760,1615,10759,1615,10768,1611,10767,1611,10776,1605,10775,1607,10853,1607,10846,1613,10845,1615,10838,1621,10837,1623,10830,1629xm10811,1643l7298,1643,7289,1637,7288,1635,7280,1629,7392,1629,7402,1631,7401,1631,7412,1633,10823,1633,10821,1635,10820,1637,10811,1643xm10823,1633l10697,1633,10708,1631,10707,1631,10717,1629,10829,1629,10823,1633xm7421,1633l7412,1633,7410,1631,7421,1633xm10697,1633l10688,1633,10699,1631,10697,1633xm10802,1649l7307,1649,7299,1643,10810,1643,10802,1649xm10792,1655l7317,1655,7308,1649,10801,1649,10792,1655xm10771,1665l7338,1665,7328,1659,7318,1655,10791,1655,10781,1659,10771,1665xm10761,1669l7348,1669,7339,1665,10770,1665,10761,1669xm10738,1675l7371,1675,7361,1673,7350,1669,10759,1669,10748,1673,10738,1675xm10715,1681l7394,1681,7383,1679,7372,1675,10737,1675,10726,1679,10715,1681xm10692,1683l7417,1683,7407,1681,10702,1681,10692,1683xe" filled="true" fillcolor="#9bba58" stroked="false">
              <v:path arrowok="t"/>
              <v:fill type="solid"/>
            </v:shape>
            <v:shape style="position:absolute;left:7449;top:550;width:3305;height:911" type="#_x0000_t75" stroked="false">
              <v:imagedata r:id="rId9" o:title=""/>
            </v:shape>
            <w10:wrap type="topAndBottom"/>
          </v:group>
        </w:pict>
      </w:r>
    </w:p>
    <w:p>
      <w:pPr>
        <w:pStyle w:val="BodyText"/>
        <w:rPr>
          <w:rFonts w:ascii="Times New Roman"/>
        </w:rPr>
      </w:pPr>
    </w:p>
    <w:p>
      <w:pPr>
        <w:pStyle w:val="Heading1"/>
        <w:spacing w:before="94"/>
        <w:jc w:val="both"/>
      </w:pPr>
      <w:r>
        <w:rPr>
          <w:color w:val="BE5A13"/>
        </w:rPr>
        <w:t>Biography (150 word limit)</w:t>
      </w:r>
    </w:p>
    <w:p>
      <w:pPr>
        <w:spacing w:line="230" w:lineRule="auto" w:before="38"/>
        <w:ind w:left="332" w:right="511" w:firstLine="0"/>
        <w:jc w:val="both"/>
        <w:rPr>
          <w:sz w:val="14"/>
        </w:rPr>
      </w:pPr>
      <w:r>
        <w:rPr>
          <w:sz w:val="14"/>
        </w:rPr>
        <w:t>XIAO-XIA YIN received the Ph.D. degree in electronics engineering from The University of Adelaide, Australia. She was a Visiting Scholar with the University of Reading, Reading, U.K., under the supervision of S. Hadjiloucas, and with the University of Cambridge, Cambridge, U.K., under the supervision of L. F. Gladden. She involved in tumor detection via DCE-MRI with The University of Melbourne, Australia, under the supervision of Prof. Kotagiri. She has an existing collaboration with Prof. M.-Y. Su with the Center for Functional Onco Imaging, University of California at Irvine, USA, and with Prof. T. Kron with the Peter MacCallum Cancer Centre, Australia. She is currently a professor in University of Guangzhou, China and her major is in high-dimensional medical image analysis. Her research interests include multiresolution analysis, segmentation, image reconstruction and classifification, and their applications to high-dimensional medical imaging. She received the Postdoctoral Research Fellowship from the Australian Research Council, in 2009. She was a member of the Organizing Committee and the Publication Chairperson of the 3rd International Conference of Health Information Science, and a member of the Organizing Committee and the Program Co-Chairperson of the 4th and 5th International Conference of Health Information Science. .</w:t>
      </w:r>
    </w:p>
    <w:p>
      <w:pPr>
        <w:spacing w:before="61"/>
        <w:ind w:left="627" w:right="805" w:firstLine="0"/>
        <w:jc w:val="center"/>
        <w:rPr>
          <w:sz w:val="14"/>
        </w:rPr>
      </w:pPr>
      <w:r>
        <w:rPr>
          <w:sz w:val="14"/>
        </w:rPr>
        <w:t>Email: </w:t>
      </w:r>
      <w:hyperlink r:id="rId10">
        <w:r>
          <w:rPr>
            <w:color w:val="0000FF"/>
            <w:sz w:val="14"/>
            <w:u w:val="single" w:color="0000FF"/>
          </w:rPr>
          <w:t>xiaoxia.yin@gzhu.edu.cn</w:t>
        </w:r>
      </w:hyperlink>
    </w:p>
    <w:p>
      <w:pPr>
        <w:pStyle w:val="BodyText"/>
        <w:spacing w:before="1"/>
        <w:rPr>
          <w:sz w:val="19"/>
        </w:rPr>
      </w:pPr>
      <w:r>
        <w:rPr/>
        <w:pict>
          <v:rect style="position:absolute;margin-left:162.100006pt;margin-top:12.954668pt;width:271.05pt;height:.6pt;mso-position-horizontal-relative:page;mso-position-vertical-relative:paragraph;z-index:-15724544;mso-wrap-distance-left:0;mso-wrap-distance-right:0" filled="true" fillcolor="#004080" stroked="false">
            <v:fill type="solid"/>
            <w10:wrap type="topAndBottom"/>
          </v:rect>
        </w:pict>
      </w:r>
    </w:p>
    <w:p>
      <w:pPr>
        <w:pStyle w:val="BodyText"/>
        <w:rPr>
          <w:sz w:val="20"/>
        </w:rPr>
      </w:pPr>
    </w:p>
    <w:p>
      <w:pPr>
        <w:pStyle w:val="BodyText"/>
        <w:rPr>
          <w:sz w:val="20"/>
        </w:rPr>
      </w:pPr>
    </w:p>
    <w:p>
      <w:pPr>
        <w:pStyle w:val="BodyText"/>
        <w:rPr>
          <w:sz w:val="23"/>
        </w:rPr>
      </w:pPr>
    </w:p>
    <w:p>
      <w:pPr>
        <w:pStyle w:val="Heading2"/>
        <w:spacing w:before="117"/>
        <w:rPr>
          <w:rFonts w:ascii="Times New Roman"/>
        </w:rPr>
      </w:pPr>
      <w:r>
        <w:rPr>
          <w:rFonts w:ascii="Times New Roman"/>
        </w:rPr>
        <w:t>Notes/Comments:</w:t>
      </w:r>
    </w:p>
    <w:p>
      <w:pPr>
        <w:pStyle w:val="BodyText"/>
        <w:rPr>
          <w:rFonts w:ascii="Times New Roman"/>
          <w:b/>
          <w:sz w:val="28"/>
        </w:rPr>
      </w:pPr>
    </w:p>
    <w:p>
      <w:pPr>
        <w:pStyle w:val="BodyText"/>
        <w:spacing w:before="10"/>
        <w:rPr>
          <w:rFonts w:ascii="Times New Roman"/>
          <w:b/>
          <w:sz w:val="27"/>
        </w:rPr>
      </w:pPr>
    </w:p>
    <w:p>
      <w:pPr>
        <w:spacing w:line="224" w:lineRule="exact" w:before="0"/>
        <w:ind w:left="119" w:right="0" w:firstLine="0"/>
        <w:jc w:val="left"/>
        <w:rPr>
          <w:b/>
          <w:sz w:val="20"/>
        </w:rPr>
      </w:pPr>
      <w:r>
        <w:rPr>
          <w:b/>
          <w:w w:val="95"/>
          <w:sz w:val="20"/>
        </w:rPr>
        <w:t>Presenting author details</w:t>
      </w:r>
    </w:p>
    <w:p>
      <w:pPr>
        <w:pStyle w:val="Heading3"/>
      </w:pPr>
      <w:r>
        <w:rPr/>
        <w:t>Full name: Xiaoxia Yin</w:t>
      </w:r>
    </w:p>
    <w:p>
      <w:pPr>
        <w:spacing w:line="228" w:lineRule="auto" w:before="4"/>
        <w:ind w:left="119" w:right="8119" w:firstLine="0"/>
        <w:jc w:val="left"/>
        <w:rPr>
          <w:sz w:val="20"/>
        </w:rPr>
      </w:pPr>
      <w:r>
        <w:rPr>
          <w:w w:val="95"/>
          <w:sz w:val="20"/>
        </w:rPr>
        <w:t>Contact number: 0061490132477 </w:t>
      </w:r>
      <w:r>
        <w:rPr>
          <w:sz w:val="20"/>
        </w:rPr>
        <w:t>Twitter account:</w:t>
      </w:r>
    </w:p>
    <w:p>
      <w:pPr>
        <w:spacing w:line="212" w:lineRule="exact" w:before="0"/>
        <w:ind w:left="119" w:right="0" w:firstLine="0"/>
        <w:jc w:val="left"/>
        <w:rPr>
          <w:sz w:val="20"/>
        </w:rPr>
      </w:pPr>
      <w:r>
        <w:rPr>
          <w:w w:val="95"/>
          <w:sz w:val="20"/>
        </w:rPr>
        <w:t>Linked In account:</w:t>
      </w:r>
    </w:p>
    <w:p>
      <w:pPr>
        <w:spacing w:line="218" w:lineRule="exact" w:before="0"/>
        <w:ind w:left="119" w:right="0" w:firstLine="0"/>
        <w:jc w:val="left"/>
        <w:rPr>
          <w:sz w:val="20"/>
        </w:rPr>
      </w:pPr>
      <w:r>
        <w:rPr>
          <w:spacing w:val="1"/>
          <w:w w:val="74"/>
          <w:sz w:val="20"/>
        </w:rPr>
        <w:t>S</w:t>
      </w:r>
      <w:r>
        <w:rPr>
          <w:spacing w:val="1"/>
          <w:w w:val="89"/>
          <w:sz w:val="20"/>
        </w:rPr>
        <w:t>e</w:t>
      </w:r>
      <w:r>
        <w:rPr>
          <w:w w:val="66"/>
          <w:sz w:val="20"/>
        </w:rPr>
        <w:t>s</w:t>
      </w:r>
      <w:r>
        <w:rPr>
          <w:spacing w:val="-2"/>
          <w:w w:val="66"/>
          <w:sz w:val="20"/>
        </w:rPr>
        <w:t>s</w:t>
      </w:r>
      <w:r>
        <w:rPr>
          <w:spacing w:val="-1"/>
          <w:w w:val="98"/>
          <w:sz w:val="20"/>
        </w:rPr>
        <w:t>i</w:t>
      </w:r>
      <w:r>
        <w:rPr>
          <w:spacing w:val="1"/>
          <w:w w:val="89"/>
          <w:sz w:val="20"/>
        </w:rPr>
        <w:t>o</w:t>
      </w:r>
      <w:r>
        <w:rPr>
          <w:w w:val="78"/>
          <w:sz w:val="20"/>
        </w:rPr>
        <w:t>n</w:t>
      </w:r>
      <w:r>
        <w:rPr>
          <w:spacing w:val="-2"/>
          <w:sz w:val="20"/>
        </w:rPr>
        <w:t> </w:t>
      </w:r>
      <w:r>
        <w:rPr>
          <w:spacing w:val="-1"/>
          <w:w w:val="78"/>
          <w:sz w:val="20"/>
        </w:rPr>
        <w:t>n</w:t>
      </w:r>
      <w:r>
        <w:rPr>
          <w:w w:val="98"/>
          <w:sz w:val="20"/>
        </w:rPr>
        <w:t>a</w:t>
      </w:r>
      <w:r>
        <w:rPr>
          <w:spacing w:val="1"/>
          <w:w w:val="79"/>
          <w:sz w:val="20"/>
        </w:rPr>
        <w:t>m</w:t>
      </w:r>
      <w:r>
        <w:rPr>
          <w:spacing w:val="1"/>
          <w:w w:val="89"/>
          <w:sz w:val="20"/>
        </w:rPr>
        <w:t>e</w:t>
      </w:r>
      <w:r>
        <w:rPr>
          <w:w w:val="179"/>
          <w:sz w:val="20"/>
        </w:rPr>
        <w:t>/</w:t>
      </w:r>
      <w:r>
        <w:rPr>
          <w:sz w:val="20"/>
        </w:rPr>
        <w:t> </w:t>
      </w:r>
      <w:r>
        <w:rPr>
          <w:spacing w:val="-1"/>
          <w:w w:val="78"/>
          <w:sz w:val="20"/>
        </w:rPr>
        <w:t>nu</w:t>
      </w:r>
      <w:r>
        <w:rPr>
          <w:spacing w:val="1"/>
          <w:w w:val="79"/>
          <w:sz w:val="20"/>
        </w:rPr>
        <w:t>m</w:t>
      </w:r>
      <w:r>
        <w:rPr>
          <w:w w:val="98"/>
          <w:sz w:val="20"/>
        </w:rPr>
        <w:t>b</w:t>
      </w:r>
      <w:r>
        <w:rPr>
          <w:spacing w:val="1"/>
          <w:w w:val="89"/>
          <w:sz w:val="20"/>
        </w:rPr>
        <w:t>e</w:t>
      </w:r>
      <w:r>
        <w:rPr>
          <w:w w:val="99"/>
          <w:sz w:val="20"/>
        </w:rPr>
        <w:t>r</w:t>
      </w:r>
      <w:r>
        <w:rPr>
          <w:w w:val="78"/>
          <w:sz w:val="20"/>
        </w:rPr>
        <w:t>:</w:t>
      </w:r>
    </w:p>
    <w:p>
      <w:pPr>
        <w:spacing w:line="224" w:lineRule="exact" w:before="0"/>
        <w:ind w:left="119" w:right="0" w:firstLine="0"/>
        <w:jc w:val="left"/>
        <w:rPr>
          <w:sz w:val="20"/>
        </w:rPr>
      </w:pPr>
      <w:r>
        <w:rPr>
          <w:spacing w:val="-1"/>
          <w:w w:val="83"/>
          <w:sz w:val="20"/>
        </w:rPr>
        <w:t>C</w:t>
      </w:r>
      <w:r>
        <w:rPr>
          <w:w w:val="98"/>
          <w:sz w:val="20"/>
        </w:rPr>
        <w:t>a</w:t>
      </w:r>
      <w:r>
        <w:rPr>
          <w:spacing w:val="1"/>
          <w:w w:val="97"/>
          <w:sz w:val="20"/>
        </w:rPr>
        <w:t>t</w:t>
      </w:r>
      <w:r>
        <w:rPr>
          <w:spacing w:val="1"/>
          <w:w w:val="89"/>
          <w:sz w:val="20"/>
        </w:rPr>
        <w:t>e</w:t>
      </w:r>
      <w:r>
        <w:rPr>
          <w:w w:val="98"/>
          <w:sz w:val="20"/>
        </w:rPr>
        <w:t>g</w:t>
      </w:r>
      <w:r>
        <w:rPr>
          <w:spacing w:val="1"/>
          <w:w w:val="89"/>
          <w:sz w:val="20"/>
        </w:rPr>
        <w:t>o</w:t>
      </w:r>
      <w:r>
        <w:rPr>
          <w:spacing w:val="-2"/>
          <w:w w:val="99"/>
          <w:sz w:val="20"/>
        </w:rPr>
        <w:t>r</w:t>
      </w:r>
      <w:r>
        <w:rPr>
          <w:spacing w:val="1"/>
          <w:w w:val="99"/>
          <w:sz w:val="20"/>
        </w:rPr>
        <w:t>y</w:t>
      </w:r>
      <w:r>
        <w:rPr>
          <w:w w:val="78"/>
          <w:sz w:val="20"/>
        </w:rPr>
        <w:t>:</w:t>
      </w:r>
      <w:r>
        <w:rPr>
          <w:spacing w:val="-1"/>
          <w:sz w:val="20"/>
        </w:rPr>
        <w:t> </w:t>
      </w:r>
      <w:r>
        <w:rPr>
          <w:spacing w:val="1"/>
          <w:w w:val="80"/>
          <w:sz w:val="20"/>
        </w:rPr>
        <w:t>(</w:t>
      </w:r>
      <w:r>
        <w:rPr>
          <w:w w:val="98"/>
          <w:sz w:val="20"/>
        </w:rPr>
        <w:t>O</w:t>
      </w:r>
      <w:r>
        <w:rPr>
          <w:w w:val="99"/>
          <w:sz w:val="20"/>
        </w:rPr>
        <w:t>r</w:t>
      </w:r>
      <w:r>
        <w:rPr>
          <w:w w:val="98"/>
          <w:sz w:val="20"/>
        </w:rPr>
        <w:t>a</w:t>
      </w:r>
      <w:r>
        <w:rPr>
          <w:w w:val="98"/>
          <w:sz w:val="20"/>
        </w:rPr>
        <w:t>l</w:t>
      </w:r>
      <w:r>
        <w:rPr>
          <w:spacing w:val="-1"/>
          <w:sz w:val="20"/>
        </w:rPr>
        <w:t> </w:t>
      </w:r>
      <w:r>
        <w:rPr>
          <w:w w:val="98"/>
          <w:sz w:val="20"/>
        </w:rPr>
        <w:t>p</w:t>
      </w:r>
      <w:r>
        <w:rPr>
          <w:w w:val="99"/>
          <w:sz w:val="20"/>
        </w:rPr>
        <w:t>r</w:t>
      </w:r>
      <w:r>
        <w:rPr>
          <w:spacing w:val="1"/>
          <w:w w:val="89"/>
          <w:sz w:val="20"/>
        </w:rPr>
        <w:t>e</w:t>
      </w:r>
      <w:r>
        <w:rPr>
          <w:spacing w:val="-2"/>
          <w:w w:val="66"/>
          <w:sz w:val="20"/>
        </w:rPr>
        <w:t>s</w:t>
      </w:r>
      <w:r>
        <w:rPr>
          <w:spacing w:val="1"/>
          <w:w w:val="89"/>
          <w:sz w:val="20"/>
        </w:rPr>
        <w:t>e</w:t>
      </w:r>
      <w:r>
        <w:rPr>
          <w:spacing w:val="-1"/>
          <w:w w:val="78"/>
          <w:sz w:val="20"/>
        </w:rPr>
        <w:t>n</w:t>
      </w:r>
      <w:r>
        <w:rPr>
          <w:spacing w:val="1"/>
          <w:w w:val="97"/>
          <w:sz w:val="20"/>
        </w:rPr>
        <w:t>t</w:t>
      </w:r>
      <w:r>
        <w:rPr>
          <w:w w:val="98"/>
          <w:sz w:val="20"/>
        </w:rPr>
        <w:t>a</w:t>
      </w:r>
      <w:r>
        <w:rPr>
          <w:spacing w:val="1"/>
          <w:w w:val="97"/>
          <w:sz w:val="20"/>
        </w:rPr>
        <w:t>t</w:t>
      </w:r>
      <w:r>
        <w:rPr>
          <w:spacing w:val="-1"/>
          <w:w w:val="98"/>
          <w:sz w:val="20"/>
        </w:rPr>
        <w:t>i</w:t>
      </w:r>
      <w:r>
        <w:rPr>
          <w:spacing w:val="1"/>
          <w:w w:val="89"/>
          <w:sz w:val="20"/>
        </w:rPr>
        <w:t>o</w:t>
      </w:r>
      <w:r>
        <w:rPr>
          <w:spacing w:val="-1"/>
          <w:w w:val="78"/>
          <w:sz w:val="20"/>
        </w:rPr>
        <w:t>n</w:t>
      </w:r>
      <w:r>
        <w:rPr>
          <w:w w:val="179"/>
          <w:sz w:val="20"/>
        </w:rPr>
        <w:t>/</w:t>
      </w:r>
      <w:r>
        <w:rPr>
          <w:spacing w:val="-2"/>
          <w:sz w:val="20"/>
        </w:rPr>
        <w:t> </w:t>
      </w:r>
      <w:r>
        <w:rPr>
          <w:spacing w:val="1"/>
          <w:w w:val="74"/>
          <w:sz w:val="20"/>
        </w:rPr>
        <w:t>P</w:t>
      </w:r>
      <w:r>
        <w:rPr>
          <w:spacing w:val="1"/>
          <w:w w:val="89"/>
          <w:sz w:val="20"/>
        </w:rPr>
        <w:t>o</w:t>
      </w:r>
      <w:r>
        <w:rPr>
          <w:w w:val="66"/>
          <w:sz w:val="20"/>
        </w:rPr>
        <w:t>s</w:t>
      </w:r>
      <w:r>
        <w:rPr>
          <w:spacing w:val="-2"/>
          <w:w w:val="97"/>
          <w:sz w:val="20"/>
        </w:rPr>
        <w:t>t</w:t>
      </w:r>
      <w:r>
        <w:rPr>
          <w:spacing w:val="1"/>
          <w:w w:val="89"/>
          <w:sz w:val="20"/>
        </w:rPr>
        <w:t>e</w:t>
      </w:r>
      <w:r>
        <w:rPr>
          <w:w w:val="99"/>
          <w:sz w:val="20"/>
        </w:rPr>
        <w:t>r</w:t>
      </w:r>
      <w:r>
        <w:rPr>
          <w:spacing w:val="-2"/>
          <w:sz w:val="20"/>
        </w:rPr>
        <w:t> </w:t>
      </w:r>
      <w:r>
        <w:rPr>
          <w:w w:val="98"/>
          <w:sz w:val="20"/>
        </w:rPr>
        <w:t>p</w:t>
      </w:r>
      <w:r>
        <w:rPr>
          <w:w w:val="99"/>
          <w:sz w:val="20"/>
        </w:rPr>
        <w:t>r</w:t>
      </w:r>
      <w:r>
        <w:rPr>
          <w:spacing w:val="1"/>
          <w:w w:val="89"/>
          <w:sz w:val="20"/>
        </w:rPr>
        <w:t>e</w:t>
      </w:r>
      <w:r>
        <w:rPr>
          <w:w w:val="66"/>
          <w:sz w:val="20"/>
        </w:rPr>
        <w:t>s</w:t>
      </w:r>
      <w:r>
        <w:rPr>
          <w:spacing w:val="-2"/>
          <w:w w:val="89"/>
          <w:sz w:val="20"/>
        </w:rPr>
        <w:t>e</w:t>
      </w:r>
      <w:r>
        <w:rPr>
          <w:spacing w:val="-1"/>
          <w:w w:val="78"/>
          <w:sz w:val="20"/>
        </w:rPr>
        <w:t>n</w:t>
      </w:r>
      <w:r>
        <w:rPr>
          <w:spacing w:val="1"/>
          <w:w w:val="97"/>
          <w:sz w:val="20"/>
        </w:rPr>
        <w:t>t</w:t>
      </w:r>
      <w:r>
        <w:rPr>
          <w:w w:val="98"/>
          <w:sz w:val="20"/>
        </w:rPr>
        <w:t>a</w:t>
      </w:r>
      <w:r>
        <w:rPr>
          <w:spacing w:val="1"/>
          <w:w w:val="97"/>
          <w:sz w:val="20"/>
        </w:rPr>
        <w:t>t</w:t>
      </w:r>
      <w:r>
        <w:rPr>
          <w:spacing w:val="-1"/>
          <w:w w:val="98"/>
          <w:sz w:val="20"/>
        </w:rPr>
        <w:t>i</w:t>
      </w:r>
      <w:r>
        <w:rPr>
          <w:spacing w:val="1"/>
          <w:w w:val="89"/>
          <w:sz w:val="20"/>
        </w:rPr>
        <w:t>o</w:t>
      </w:r>
      <w:r>
        <w:rPr>
          <w:spacing w:val="-1"/>
          <w:w w:val="78"/>
          <w:sz w:val="20"/>
        </w:rPr>
        <w:t>n</w:t>
      </w:r>
      <w:r>
        <w:rPr>
          <w:w w:val="80"/>
          <w:sz w:val="20"/>
        </w:rPr>
        <w:t>)</w:t>
      </w:r>
      <w:r>
        <w:rPr>
          <w:spacing w:val="1"/>
          <w:sz w:val="20"/>
        </w:rPr>
        <w:t> </w:t>
      </w:r>
      <w:r>
        <w:rPr>
          <w:w w:val="98"/>
          <w:sz w:val="20"/>
        </w:rPr>
        <w:t>O</w:t>
      </w:r>
      <w:r>
        <w:rPr>
          <w:w w:val="99"/>
          <w:sz w:val="20"/>
        </w:rPr>
        <w:t>r</w:t>
      </w:r>
      <w:r>
        <w:rPr>
          <w:w w:val="98"/>
          <w:sz w:val="20"/>
        </w:rPr>
        <w:t>a</w:t>
      </w:r>
      <w:r>
        <w:rPr>
          <w:w w:val="98"/>
          <w:sz w:val="20"/>
        </w:rPr>
        <w:t>l</w:t>
      </w:r>
      <w:r>
        <w:rPr>
          <w:spacing w:val="-1"/>
          <w:sz w:val="20"/>
        </w:rPr>
        <w:t> </w:t>
      </w:r>
      <w:r>
        <w:rPr>
          <w:spacing w:val="1"/>
          <w:w w:val="74"/>
          <w:sz w:val="20"/>
        </w:rPr>
        <w:t>P</w:t>
      </w:r>
      <w:r>
        <w:rPr>
          <w:w w:val="99"/>
          <w:sz w:val="20"/>
        </w:rPr>
        <w:t>r</w:t>
      </w:r>
      <w:r>
        <w:rPr>
          <w:spacing w:val="1"/>
          <w:w w:val="89"/>
          <w:sz w:val="20"/>
        </w:rPr>
        <w:t>e</w:t>
      </w:r>
      <w:r>
        <w:rPr>
          <w:spacing w:val="-2"/>
          <w:w w:val="66"/>
          <w:sz w:val="20"/>
        </w:rPr>
        <w:t>s</w:t>
      </w:r>
      <w:r>
        <w:rPr>
          <w:spacing w:val="1"/>
          <w:w w:val="89"/>
          <w:sz w:val="20"/>
        </w:rPr>
        <w:t>e</w:t>
      </w:r>
      <w:r>
        <w:rPr>
          <w:spacing w:val="-1"/>
          <w:w w:val="78"/>
          <w:sz w:val="20"/>
        </w:rPr>
        <w:t>n</w:t>
      </w:r>
      <w:r>
        <w:rPr>
          <w:spacing w:val="1"/>
          <w:w w:val="97"/>
          <w:sz w:val="20"/>
        </w:rPr>
        <w:t>t</w:t>
      </w:r>
      <w:r>
        <w:rPr>
          <w:w w:val="98"/>
          <w:sz w:val="20"/>
        </w:rPr>
        <w:t>a</w:t>
      </w:r>
      <w:r>
        <w:rPr>
          <w:spacing w:val="1"/>
          <w:w w:val="97"/>
          <w:sz w:val="20"/>
        </w:rPr>
        <w:t>t</w:t>
      </w:r>
      <w:r>
        <w:rPr>
          <w:spacing w:val="-1"/>
          <w:w w:val="98"/>
          <w:sz w:val="20"/>
        </w:rPr>
        <w:t>i</w:t>
      </w:r>
      <w:r>
        <w:rPr>
          <w:spacing w:val="1"/>
          <w:w w:val="89"/>
          <w:sz w:val="20"/>
        </w:rPr>
        <w:t>o</w:t>
      </w:r>
      <w:r>
        <w:rPr>
          <w:w w:val="78"/>
          <w:sz w:val="20"/>
        </w:rPr>
        <w:t>n</w:t>
      </w:r>
    </w:p>
    <w:p>
      <w:pPr>
        <w:spacing w:after="0" w:line="224" w:lineRule="exact"/>
        <w:jc w:val="left"/>
        <w:rPr>
          <w:sz w:val="20"/>
        </w:rPr>
        <w:sectPr>
          <w:type w:val="continuous"/>
          <w:pgSz w:w="11910" w:h="16840"/>
          <w:pgMar w:top="1020" w:bottom="280" w:left="500" w:right="320"/>
        </w:sectPr>
      </w:pPr>
    </w:p>
    <w:p>
      <w:pPr>
        <w:pStyle w:val="BodyText"/>
        <w:spacing w:before="4"/>
        <w:rPr>
          <w:sz w:val="17"/>
        </w:rPr>
      </w:pPr>
    </w:p>
    <w:sectPr>
      <w:pgSz w:w="12240" w:h="15840"/>
      <w:pgMar w:top="1500" w:bottom="280" w:left="1720" w:right="1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Impact">
    <w:altName w:val="Impact"/>
    <w:charset w:val="0"/>
    <w:family w:val="swiss"/>
    <w:pitch w:val="variable"/>
  </w:font>
  <w:font w:name="Trebuchet MS">
    <w:altName w:val="Trebuchet MS"/>
    <w:charset w:val="0"/>
    <w:family w:val="swiss"/>
    <w:pitch w:val="variable"/>
  </w:font>
  <w:font w:name="Carlito">
    <w:altName w:val="Carlito"/>
    <w:charset w:val="0"/>
    <w:family w:val="swiss"/>
    <w:pitch w:val="variable"/>
  </w:font>
  <w:font w:name="Noto Sans Mono CJK HK">
    <w:altName w:val="Noto Sans Mono CJK HK"/>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606" w:hanging="284"/>
        <w:jc w:val="left"/>
      </w:pPr>
      <w:rPr>
        <w:rFonts w:hint="default" w:ascii="Carlito" w:hAnsi="Carlito" w:eastAsia="Carlito" w:cs="Carlito"/>
        <w:spacing w:val="-17"/>
        <w:w w:val="100"/>
        <w:sz w:val="18"/>
        <w:szCs w:val="18"/>
        <w:lang w:val="en-US" w:eastAsia="en-US" w:bidi="ar-SA"/>
      </w:rPr>
    </w:lvl>
    <w:lvl w:ilvl="1">
      <w:start w:val="0"/>
      <w:numFmt w:val="bullet"/>
      <w:lvlText w:val="•"/>
      <w:lvlJc w:val="left"/>
      <w:pPr>
        <w:ind w:left="499" w:hanging="284"/>
      </w:pPr>
      <w:rPr>
        <w:rFonts w:hint="default"/>
        <w:lang w:val="en-US" w:eastAsia="en-US" w:bidi="ar-SA"/>
      </w:rPr>
    </w:lvl>
    <w:lvl w:ilvl="2">
      <w:start w:val="0"/>
      <w:numFmt w:val="bullet"/>
      <w:lvlText w:val="•"/>
      <w:lvlJc w:val="left"/>
      <w:pPr>
        <w:ind w:left="399" w:hanging="284"/>
      </w:pPr>
      <w:rPr>
        <w:rFonts w:hint="default"/>
        <w:lang w:val="en-US" w:eastAsia="en-US" w:bidi="ar-SA"/>
      </w:rPr>
    </w:lvl>
    <w:lvl w:ilvl="3">
      <w:start w:val="0"/>
      <w:numFmt w:val="bullet"/>
      <w:lvlText w:val="•"/>
      <w:lvlJc w:val="left"/>
      <w:pPr>
        <w:ind w:left="299" w:hanging="284"/>
      </w:pPr>
      <w:rPr>
        <w:rFonts w:hint="default"/>
        <w:lang w:val="en-US" w:eastAsia="en-US" w:bidi="ar-SA"/>
      </w:rPr>
    </w:lvl>
    <w:lvl w:ilvl="4">
      <w:start w:val="0"/>
      <w:numFmt w:val="bullet"/>
      <w:lvlText w:val="•"/>
      <w:lvlJc w:val="left"/>
      <w:pPr>
        <w:ind w:left="199" w:hanging="284"/>
      </w:pPr>
      <w:rPr>
        <w:rFonts w:hint="default"/>
        <w:lang w:val="en-US" w:eastAsia="en-US" w:bidi="ar-SA"/>
      </w:rPr>
    </w:lvl>
    <w:lvl w:ilvl="5">
      <w:start w:val="0"/>
      <w:numFmt w:val="bullet"/>
      <w:lvlText w:val="•"/>
      <w:lvlJc w:val="left"/>
      <w:pPr>
        <w:ind w:left="99" w:hanging="284"/>
      </w:pPr>
      <w:rPr>
        <w:rFonts w:hint="default"/>
        <w:lang w:val="en-US" w:eastAsia="en-US" w:bidi="ar-SA"/>
      </w:rPr>
    </w:lvl>
    <w:lvl w:ilvl="6">
      <w:start w:val="0"/>
      <w:numFmt w:val="bullet"/>
      <w:lvlText w:val="•"/>
      <w:lvlJc w:val="left"/>
      <w:pPr>
        <w:ind w:left="-1" w:hanging="284"/>
      </w:pPr>
      <w:rPr>
        <w:rFonts w:hint="default"/>
        <w:lang w:val="en-US" w:eastAsia="en-US" w:bidi="ar-SA"/>
      </w:rPr>
    </w:lvl>
    <w:lvl w:ilvl="7">
      <w:start w:val="0"/>
      <w:numFmt w:val="bullet"/>
      <w:lvlText w:val="•"/>
      <w:lvlJc w:val="left"/>
      <w:pPr>
        <w:ind w:left="-101" w:hanging="284"/>
      </w:pPr>
      <w:rPr>
        <w:rFonts w:hint="default"/>
        <w:lang w:val="en-US" w:eastAsia="en-US" w:bidi="ar-SA"/>
      </w:rPr>
    </w:lvl>
    <w:lvl w:ilvl="8">
      <w:start w:val="0"/>
      <w:numFmt w:val="bullet"/>
      <w:lvlText w:val="•"/>
      <w:lvlJc w:val="left"/>
      <w:pPr>
        <w:ind w:left="-201" w:hanging="284"/>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spacing w:before="89"/>
      <w:ind w:left="340"/>
      <w:jc w:val="center"/>
      <w:outlineLvl w:val="1"/>
    </w:pPr>
    <w:rPr>
      <w:rFonts w:ascii="Arial" w:hAnsi="Arial" w:eastAsia="Arial" w:cs="Arial"/>
      <w:sz w:val="22"/>
      <w:szCs w:val="22"/>
      <w:lang w:val="en-US" w:eastAsia="en-US" w:bidi="ar-SA"/>
    </w:rPr>
  </w:style>
  <w:style w:styleId="Heading2" w:type="paragraph">
    <w:name w:val="Heading 2"/>
    <w:basedOn w:val="Normal"/>
    <w:uiPriority w:val="1"/>
    <w:qFormat/>
    <w:pPr>
      <w:spacing w:before="93"/>
      <w:ind w:left="220"/>
      <w:outlineLvl w:val="2"/>
    </w:pPr>
    <w:rPr>
      <w:rFonts w:ascii="Arial" w:hAnsi="Arial" w:eastAsia="Arial" w:cs="Arial"/>
      <w:b/>
      <w:bCs/>
      <w:sz w:val="20"/>
      <w:szCs w:val="20"/>
      <w:lang w:val="en-US" w:eastAsia="en-US" w:bidi="ar-SA"/>
    </w:rPr>
  </w:style>
  <w:style w:styleId="Heading3" w:type="paragraph">
    <w:name w:val="Heading 3"/>
    <w:basedOn w:val="Normal"/>
    <w:uiPriority w:val="1"/>
    <w:qFormat/>
    <w:pPr>
      <w:spacing w:line="218" w:lineRule="exact"/>
      <w:ind w:left="119"/>
      <w:outlineLvl w:val="3"/>
    </w:pPr>
    <w:rPr>
      <w:rFonts w:ascii="Arial" w:hAnsi="Arial" w:eastAsia="Arial" w:cs="Arial"/>
      <w:sz w:val="20"/>
      <w:szCs w:val="20"/>
      <w:lang w:val="en-US" w:eastAsia="en-US" w:bidi="ar-SA"/>
    </w:rPr>
  </w:style>
  <w:style w:styleId="Title" w:type="paragraph">
    <w:name w:val="Title"/>
    <w:basedOn w:val="Normal"/>
    <w:uiPriority w:val="1"/>
    <w:qFormat/>
    <w:pPr>
      <w:spacing w:before="60"/>
      <w:ind w:left="627" w:right="827"/>
      <w:jc w:val="center"/>
    </w:pPr>
    <w:rPr>
      <w:rFonts w:ascii="Times New Roman" w:hAnsi="Times New Roman" w:eastAsia="Times New Roman" w:cs="Times New Roman"/>
      <w:sz w:val="34"/>
      <w:szCs w:val="34"/>
      <w:lang w:val="en-US" w:eastAsia="en-US" w:bidi="ar-SA"/>
    </w:rPr>
  </w:style>
  <w:style w:styleId="ListParagraph" w:type="paragraph">
    <w:name w:val="List Paragraph"/>
    <w:basedOn w:val="Normal"/>
    <w:uiPriority w:val="1"/>
    <w:qFormat/>
    <w:pPr>
      <w:ind w:left="606" w:right="38" w:hanging="284"/>
      <w:jc w:val="both"/>
    </w:pPr>
    <w:rPr>
      <w:rFonts w:ascii="Carlito" w:hAnsi="Carlito" w:eastAsia="Carlito" w:cs="Carlito"/>
      <w:lang w:val="en-US" w:eastAsia="en-US" w:bidi="ar-SA"/>
    </w:rPr>
  </w:style>
  <w:style w:styleId="TableParagraph" w:type="paragraph">
    <w:name w:val="Table Paragraph"/>
    <w:basedOn w:val="Normal"/>
    <w:uiPriority w:val="1"/>
    <w:qFormat/>
    <w:pPr>
      <w:ind w:left="50"/>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s://scholar.google.com.au/citations?view_op=view_citation&amp;hl=en&amp;user=ooPNqqcAAAAJ&amp;cstart=20&amp;pagesize=80&amp;sortby=pubdate&amp;citation_for_view=ooPNqqcAAAAJ%3AM3NEmzRMIkIC" TargetMode="External"/><Relationship Id="rId7" Type="http://schemas.openxmlformats.org/officeDocument/2006/relationships/hyperlink" Target="https://link.springer.com/content/pdf/10.1007/978-3-319-57027-3.pdf" TargetMode="External"/><Relationship Id="rId8" Type="http://schemas.openxmlformats.org/officeDocument/2006/relationships/image" Target="media/image2.jpeg"/><Relationship Id="rId9" Type="http://schemas.openxmlformats.org/officeDocument/2006/relationships/image" Target="media/image3.png"/><Relationship Id="rId10" Type="http://schemas.openxmlformats.org/officeDocument/2006/relationships/hyperlink" Target="mailto:drXXXXXXX@xxxmail.com" TargetMode="Externa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dcterms:created xsi:type="dcterms:W3CDTF">2022-11-08T08:55:57Z</dcterms:created>
  <dcterms:modified xsi:type="dcterms:W3CDTF">2022-11-08T08:55:57Z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2022-11-05T00:00:00Z</vt:filetime>
  </property>
  <property fmtid="{D5CDD505-2E9C-101B-9397-08002B2CF9AE}" pid="3" name="Creator">
    <vt:lpwstr>WPS 文字</vt:lpwstr>
  </property>
  <property fmtid="{D5CDD505-2E9C-101B-9397-08002B2CF9AE}" pid="4" name="LastSaved">
    <vt:filetime>2022-11-08T00:00:00Z</vt:filetime>
  </property>
</Properties>
</file>