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A785" w14:textId="35C647C9" w:rsidR="00C81D64" w:rsidRDefault="00C81D64" w:rsidP="00C81D64">
      <w:pPr>
        <w:pStyle w:val="Default"/>
        <w:rPr>
          <w:b/>
          <w:bCs/>
        </w:rPr>
      </w:pPr>
      <w:r w:rsidRPr="00C81D64">
        <w:rPr>
          <w:b/>
          <w:bCs/>
          <w:i/>
          <w:iCs/>
        </w:rPr>
        <w:t xml:space="preserve">In vitro </w:t>
      </w:r>
      <w:r w:rsidRPr="00C81D64">
        <w:rPr>
          <w:b/>
          <w:bCs/>
        </w:rPr>
        <w:t xml:space="preserve">antibacterial and antifungal activities of extracts and fractions of leaves of </w:t>
      </w:r>
      <w:r w:rsidRPr="00C81D64">
        <w:rPr>
          <w:b/>
          <w:bCs/>
          <w:i/>
          <w:iCs/>
        </w:rPr>
        <w:t xml:space="preserve">Ricinus communis </w:t>
      </w:r>
      <w:r w:rsidRPr="00C81D64">
        <w:rPr>
          <w:b/>
          <w:bCs/>
        </w:rPr>
        <w:t xml:space="preserve">Linn against selected pathogens </w:t>
      </w:r>
    </w:p>
    <w:p w14:paraId="12BCB4F3" w14:textId="77777777" w:rsidR="00C81D64" w:rsidRPr="00C81D64" w:rsidRDefault="00C81D64" w:rsidP="00C81D64">
      <w:pPr>
        <w:pStyle w:val="Default"/>
      </w:pPr>
    </w:p>
    <w:p w14:paraId="543851C3" w14:textId="1C8563CF" w:rsidR="00020713" w:rsidRPr="00020713" w:rsidRDefault="00C81D64" w:rsidP="00020713">
      <w:pPr>
        <w:pStyle w:val="Default"/>
        <w:rPr>
          <w:b/>
          <w:bCs/>
        </w:rPr>
      </w:pPr>
      <w:proofErr w:type="spellStart"/>
      <w:r w:rsidRPr="00020713">
        <w:rPr>
          <w:b/>
          <w:bCs/>
        </w:rPr>
        <w:t>Bedaso</w:t>
      </w:r>
      <w:proofErr w:type="spellEnd"/>
      <w:r w:rsidRPr="00020713">
        <w:rPr>
          <w:b/>
          <w:bCs/>
        </w:rPr>
        <w:t xml:space="preserve"> Kebede</w:t>
      </w:r>
      <w:r w:rsidR="00020713" w:rsidRPr="00020713">
        <w:rPr>
          <w:b/>
          <w:bCs/>
          <w:vertAlign w:val="superscript"/>
        </w:rPr>
        <w:t>1,2</w:t>
      </w:r>
      <w:r w:rsidRPr="00020713">
        <w:rPr>
          <w:b/>
          <w:bCs/>
        </w:rPr>
        <w:t xml:space="preserve"> </w:t>
      </w:r>
      <w:r w:rsidR="00020713" w:rsidRPr="00020713">
        <w:t>and</w:t>
      </w:r>
      <w:r w:rsidR="00020713" w:rsidRPr="00020713">
        <w:rPr>
          <w:b/>
          <w:bCs/>
        </w:rPr>
        <w:t xml:space="preserve"> </w:t>
      </w:r>
      <w:proofErr w:type="spellStart"/>
      <w:r w:rsidRPr="00020713">
        <w:rPr>
          <w:b/>
          <w:bCs/>
        </w:rPr>
        <w:t>Workineh</w:t>
      </w:r>
      <w:proofErr w:type="spellEnd"/>
      <w:r w:rsidRPr="00020713">
        <w:rPr>
          <w:b/>
          <w:bCs/>
        </w:rPr>
        <w:t xml:space="preserve"> Shibeshi</w:t>
      </w:r>
      <w:r w:rsidR="00020713" w:rsidRPr="00020713">
        <w:rPr>
          <w:b/>
          <w:bCs/>
          <w:vertAlign w:val="superscript"/>
        </w:rPr>
        <w:t>2</w:t>
      </w:r>
    </w:p>
    <w:p w14:paraId="51977CB6" w14:textId="4452AFE6" w:rsidR="00020713" w:rsidRDefault="00020713" w:rsidP="00020713">
      <w:pPr>
        <w:pStyle w:val="NormalWeb"/>
      </w:pPr>
      <w:r w:rsidRPr="00020713">
        <w:rPr>
          <w:vertAlign w:val="superscript"/>
        </w:rPr>
        <w:t>1</w:t>
      </w:r>
      <w:r>
        <w:t>Department of Animal Products, Veterinary Drug and Animal Feed Quality Assessment Centre of Ethiopian Veterinary Drug and Animal Feed Administration and Control Authority, Addis Ababa, Ethiopia</w:t>
      </w:r>
    </w:p>
    <w:p w14:paraId="3B9822AA" w14:textId="3332F122" w:rsidR="00020713" w:rsidRDefault="00020713" w:rsidP="00020713">
      <w:pPr>
        <w:pStyle w:val="NormalWeb"/>
      </w:pPr>
      <w:r w:rsidRPr="00020713">
        <w:rPr>
          <w:vertAlign w:val="superscript"/>
        </w:rPr>
        <w:t>2</w:t>
      </w:r>
      <w:r>
        <w:t>Department of Pharmacology and Clinical Pharmacy, School of Pharmacy, College of Health Sciences, Addis Ababa University, Addis Ababa, Ethiopia</w:t>
      </w:r>
    </w:p>
    <w:p w14:paraId="41BC0E9E" w14:textId="3CF83334" w:rsidR="00C81D64" w:rsidRDefault="00C81D64" w:rsidP="00C81D64">
      <w:pPr>
        <w:jc w:val="center"/>
        <w:rPr>
          <w:rFonts w:ascii="Times New Roman" w:hAnsi="Times New Roman" w:cs="Times New Roman"/>
          <w:b/>
          <w:bCs/>
          <w:sz w:val="24"/>
          <w:szCs w:val="24"/>
        </w:rPr>
      </w:pPr>
      <w:r w:rsidRPr="00C81D64">
        <w:rPr>
          <w:rFonts w:ascii="Times New Roman" w:hAnsi="Times New Roman" w:cs="Times New Roman"/>
          <w:b/>
          <w:bCs/>
          <w:sz w:val="24"/>
          <w:szCs w:val="24"/>
        </w:rPr>
        <w:t>Abstract</w:t>
      </w:r>
    </w:p>
    <w:p w14:paraId="4C18C9D4" w14:textId="77777777" w:rsidR="00C81D64" w:rsidRDefault="00C81D64" w:rsidP="00C81D64">
      <w:pPr>
        <w:pStyle w:val="Default"/>
      </w:pPr>
    </w:p>
    <w:p w14:paraId="20711608" w14:textId="77777777" w:rsidR="00C81D64" w:rsidRDefault="00C81D64" w:rsidP="00C81D64">
      <w:pPr>
        <w:jc w:val="both"/>
        <w:rPr>
          <w:rFonts w:ascii="Times New Roman" w:hAnsi="Times New Roman" w:cs="Times New Roman"/>
          <w:sz w:val="24"/>
          <w:szCs w:val="24"/>
        </w:rPr>
      </w:pPr>
      <w:r w:rsidRPr="00C81D64">
        <w:rPr>
          <w:rFonts w:ascii="Times New Roman" w:hAnsi="Times New Roman" w:cs="Times New Roman"/>
          <w:sz w:val="24"/>
          <w:szCs w:val="24"/>
        </w:rPr>
        <w:t xml:space="preserve">Infectious disease impacts are reduced due to the development of antimicrobial agents. However, the effectiveness of antimicrobial agents is reduced over time because of the emergence of antimicrobial resistance. To overcome these problems, scholars have been searching for alternative medicines. </w:t>
      </w:r>
      <w:r w:rsidRPr="00C81D64">
        <w:rPr>
          <w:rFonts w:ascii="Times New Roman" w:hAnsi="Times New Roman" w:cs="Times New Roman"/>
          <w:i/>
          <w:iCs/>
          <w:sz w:val="24"/>
          <w:szCs w:val="24"/>
        </w:rPr>
        <w:t>Ricinus communis</w:t>
      </w:r>
      <w:r w:rsidRPr="00C81D64">
        <w:rPr>
          <w:rFonts w:ascii="Times New Roman" w:hAnsi="Times New Roman" w:cs="Times New Roman"/>
          <w:sz w:val="24"/>
          <w:szCs w:val="24"/>
        </w:rPr>
        <w:t xml:space="preserve"> is used as a traditional treatment for bovine mastitis, wound infection, and other medicinal purposes. The objective of the present study was to further evaluate the antimicrobial activities of </w:t>
      </w:r>
      <w:r w:rsidRPr="00C81D64">
        <w:rPr>
          <w:rFonts w:ascii="Times New Roman" w:hAnsi="Times New Roman" w:cs="Times New Roman"/>
          <w:i/>
          <w:iCs/>
          <w:sz w:val="24"/>
          <w:szCs w:val="24"/>
        </w:rPr>
        <w:t>R. communis</w:t>
      </w:r>
      <w:r w:rsidRPr="00C81D64">
        <w:rPr>
          <w:rFonts w:ascii="Times New Roman" w:hAnsi="Times New Roman" w:cs="Times New Roman"/>
          <w:sz w:val="24"/>
          <w:szCs w:val="24"/>
        </w:rPr>
        <w:t xml:space="preserve"> leaf extracts and fractions. </w:t>
      </w:r>
      <w:r w:rsidRPr="00C81D64">
        <w:rPr>
          <w:rFonts w:ascii="Times New Roman" w:hAnsi="Times New Roman" w:cs="Times New Roman"/>
          <w:i/>
          <w:iCs/>
          <w:sz w:val="24"/>
          <w:szCs w:val="24"/>
        </w:rPr>
        <w:t>R. communis</w:t>
      </w:r>
      <w:r w:rsidRPr="00C81D64">
        <w:rPr>
          <w:rFonts w:ascii="Times New Roman" w:hAnsi="Times New Roman" w:cs="Times New Roman"/>
          <w:sz w:val="24"/>
          <w:szCs w:val="24"/>
        </w:rPr>
        <w:t xml:space="preserve"> leaves were macerated in methanol and acetone. The methanol extract showed better antimicrobial activity and subjected to further fractionation via increasing polarity of solvents (n-hexane, chloroform, ethyl acetate, and aqueous). Test microorganisms included in the study were six laboratory reference bacteria (</w:t>
      </w:r>
      <w:r w:rsidRPr="00C81D64">
        <w:rPr>
          <w:rFonts w:ascii="Times New Roman" w:hAnsi="Times New Roman" w:cs="Times New Roman"/>
          <w:i/>
          <w:iCs/>
          <w:sz w:val="24"/>
          <w:szCs w:val="24"/>
        </w:rPr>
        <w:t xml:space="preserve">Escherichia coli, Staphylococcus aureus, Streptococcus agalactiae, </w:t>
      </w:r>
      <w:proofErr w:type="spellStart"/>
      <w:r w:rsidRPr="00C81D64">
        <w:rPr>
          <w:rFonts w:ascii="Times New Roman" w:hAnsi="Times New Roman" w:cs="Times New Roman"/>
          <w:i/>
          <w:iCs/>
          <w:sz w:val="24"/>
          <w:szCs w:val="24"/>
        </w:rPr>
        <w:t>Kleibsella</w:t>
      </w:r>
      <w:proofErr w:type="spellEnd"/>
      <w:r w:rsidRPr="00C81D64">
        <w:rPr>
          <w:rFonts w:ascii="Times New Roman" w:hAnsi="Times New Roman" w:cs="Times New Roman"/>
          <w:i/>
          <w:iCs/>
          <w:sz w:val="24"/>
          <w:szCs w:val="24"/>
        </w:rPr>
        <w:t xml:space="preserve"> pneumoniae, Pseudomonas aeruginosa and Streptococcus pyogenes</w:t>
      </w:r>
      <w:r w:rsidRPr="00C81D64">
        <w:rPr>
          <w:rFonts w:ascii="Times New Roman" w:hAnsi="Times New Roman" w:cs="Times New Roman"/>
          <w:sz w:val="24"/>
          <w:szCs w:val="24"/>
        </w:rPr>
        <w:t xml:space="preserve">), two clinical isolate bacteria </w:t>
      </w:r>
      <w:r w:rsidRPr="00C81D64">
        <w:rPr>
          <w:rFonts w:ascii="Times New Roman" w:hAnsi="Times New Roman" w:cs="Times New Roman"/>
          <w:i/>
          <w:iCs/>
          <w:sz w:val="24"/>
          <w:szCs w:val="24"/>
        </w:rPr>
        <w:t>(E. coli</w:t>
      </w:r>
      <w:r w:rsidRPr="00C81D64">
        <w:rPr>
          <w:rFonts w:ascii="Times New Roman" w:hAnsi="Times New Roman" w:cs="Times New Roman"/>
          <w:sz w:val="24"/>
          <w:szCs w:val="24"/>
        </w:rPr>
        <w:t xml:space="preserve"> and </w:t>
      </w:r>
      <w:r w:rsidRPr="00C81D64">
        <w:rPr>
          <w:rFonts w:ascii="Times New Roman" w:hAnsi="Times New Roman" w:cs="Times New Roman"/>
          <w:i/>
          <w:iCs/>
          <w:sz w:val="24"/>
          <w:szCs w:val="24"/>
        </w:rPr>
        <w:t>S. aureus</w:t>
      </w:r>
      <w:r w:rsidRPr="00C81D64">
        <w:rPr>
          <w:rFonts w:ascii="Times New Roman" w:hAnsi="Times New Roman" w:cs="Times New Roman"/>
          <w:sz w:val="24"/>
          <w:szCs w:val="24"/>
        </w:rPr>
        <w:t xml:space="preserve">), and Candida albicans. The agar well diffusion method was employed to determine antimicrobial activity. The minimum inhibitory concentrations (MIC) and minimum bactericidal/fungicidal concentrations (MBC/MFC) were determined through broth microdilution. The results indicated that the best antimicrobial activity for ethyl acetate fraction ranged from 14.67 mm (clinical </w:t>
      </w:r>
      <w:r w:rsidRPr="00C81D64">
        <w:rPr>
          <w:rFonts w:ascii="Times New Roman" w:hAnsi="Times New Roman" w:cs="Times New Roman"/>
          <w:i/>
          <w:iCs/>
          <w:sz w:val="24"/>
          <w:szCs w:val="24"/>
        </w:rPr>
        <w:t>E. coli</w:t>
      </w:r>
      <w:r w:rsidRPr="00C81D64">
        <w:rPr>
          <w:rFonts w:ascii="Times New Roman" w:hAnsi="Times New Roman" w:cs="Times New Roman"/>
          <w:sz w:val="24"/>
          <w:szCs w:val="24"/>
        </w:rPr>
        <w:t>) to 20.33 mm (</w:t>
      </w:r>
      <w:r w:rsidRPr="00C81D64">
        <w:rPr>
          <w:rFonts w:ascii="Times New Roman" w:hAnsi="Times New Roman" w:cs="Times New Roman"/>
          <w:i/>
          <w:iCs/>
          <w:sz w:val="24"/>
          <w:szCs w:val="24"/>
        </w:rPr>
        <w:t>S. aureus</w:t>
      </w:r>
      <w:r w:rsidRPr="00C81D64">
        <w:rPr>
          <w:rFonts w:ascii="Times New Roman" w:hAnsi="Times New Roman" w:cs="Times New Roman"/>
          <w:sz w:val="24"/>
          <w:szCs w:val="24"/>
        </w:rPr>
        <w:t>) at 400 mg/ml, however, n-hexane exhibited the lowest antimicrobial activity. Among the tested fractions, ethyl acetate fraction showed the lowest MIC values ranged from 1.5625 mg/ml (</w:t>
      </w:r>
      <w:r w:rsidRPr="00C81D64">
        <w:rPr>
          <w:rFonts w:ascii="Times New Roman" w:hAnsi="Times New Roman" w:cs="Times New Roman"/>
          <w:i/>
          <w:iCs/>
          <w:sz w:val="24"/>
          <w:szCs w:val="24"/>
        </w:rPr>
        <w:t>S. aureus</w:t>
      </w:r>
      <w:r w:rsidRPr="00C81D64">
        <w:rPr>
          <w:rFonts w:ascii="Times New Roman" w:hAnsi="Times New Roman" w:cs="Times New Roman"/>
          <w:sz w:val="24"/>
          <w:szCs w:val="24"/>
        </w:rPr>
        <w:t>) to 16.67 mg/ml (</w:t>
      </w:r>
      <w:r w:rsidRPr="00C81D64">
        <w:rPr>
          <w:rFonts w:ascii="Times New Roman" w:hAnsi="Times New Roman" w:cs="Times New Roman"/>
          <w:i/>
          <w:iCs/>
          <w:sz w:val="24"/>
          <w:szCs w:val="24"/>
        </w:rPr>
        <w:t>Candida albicans</w:t>
      </w:r>
      <w:r w:rsidRPr="00C81D64">
        <w:rPr>
          <w:rFonts w:ascii="Times New Roman" w:hAnsi="Times New Roman" w:cs="Times New Roman"/>
          <w:sz w:val="24"/>
          <w:szCs w:val="24"/>
        </w:rPr>
        <w:t xml:space="preserve">). The ethyl acetate fraction showed bactericidal activity against all tested microorganisms. </w:t>
      </w:r>
    </w:p>
    <w:p w14:paraId="18D135EC" w14:textId="2D66F551" w:rsidR="00C81D64" w:rsidRDefault="00C81D64" w:rsidP="00C81D64">
      <w:pPr>
        <w:jc w:val="both"/>
        <w:rPr>
          <w:rFonts w:ascii="Times New Roman" w:hAnsi="Times New Roman" w:cs="Times New Roman"/>
          <w:sz w:val="24"/>
          <w:szCs w:val="24"/>
        </w:rPr>
      </w:pPr>
      <w:r w:rsidRPr="00C81D64">
        <w:rPr>
          <w:rFonts w:ascii="Times New Roman" w:hAnsi="Times New Roman" w:cs="Times New Roman"/>
          <w:b/>
          <w:bCs/>
          <w:sz w:val="24"/>
          <w:szCs w:val="24"/>
        </w:rPr>
        <w:t>Conclusion:</w:t>
      </w:r>
      <w:r w:rsidRPr="00C81D64">
        <w:rPr>
          <w:rFonts w:ascii="Times New Roman" w:hAnsi="Times New Roman" w:cs="Times New Roman"/>
          <w:sz w:val="24"/>
          <w:szCs w:val="24"/>
        </w:rPr>
        <w:t xml:space="preserve"> Hence, ethyl acetate fraction of crude methanol extract exhibited the best antimicrobial activity.</w:t>
      </w:r>
    </w:p>
    <w:p w14:paraId="72FCF602" w14:textId="77777777" w:rsidR="00C81D64" w:rsidRDefault="00C81D64" w:rsidP="00C81D64">
      <w:pPr>
        <w:pStyle w:val="Default"/>
      </w:pPr>
    </w:p>
    <w:p w14:paraId="6D76A05D" w14:textId="6043959A" w:rsidR="00C81D64" w:rsidRDefault="00C81D64" w:rsidP="00C81D64">
      <w:pPr>
        <w:pStyle w:val="Default"/>
        <w:rPr>
          <w:b/>
          <w:bCs/>
        </w:rPr>
      </w:pPr>
      <w:r w:rsidRPr="00C81D64">
        <w:rPr>
          <w:b/>
          <w:bCs/>
        </w:rPr>
        <w:t xml:space="preserve">Recent Publications </w:t>
      </w:r>
    </w:p>
    <w:p w14:paraId="1BCF1C0D" w14:textId="77777777" w:rsidR="00C81D64" w:rsidRPr="00C81D64" w:rsidRDefault="00C81D64" w:rsidP="00C81D64">
      <w:pPr>
        <w:pStyle w:val="Default"/>
      </w:pPr>
    </w:p>
    <w:p w14:paraId="7AF2F084" w14:textId="7373CFCC" w:rsidR="00C81D64" w:rsidRPr="00C81D64" w:rsidRDefault="00C81D64" w:rsidP="00C81D64">
      <w:pPr>
        <w:pStyle w:val="Default"/>
        <w:numPr>
          <w:ilvl w:val="0"/>
          <w:numId w:val="1"/>
        </w:numPr>
      </w:pPr>
      <w:r w:rsidRPr="00C81D64">
        <w:t xml:space="preserve">Kebede B. and </w:t>
      </w:r>
      <w:proofErr w:type="spellStart"/>
      <w:r w:rsidRPr="00C81D64">
        <w:t>Shibeshi</w:t>
      </w:r>
      <w:proofErr w:type="spellEnd"/>
      <w:r w:rsidRPr="00C81D64">
        <w:t xml:space="preserve"> W., 2022. </w:t>
      </w:r>
      <w:r w:rsidRPr="00C81D64">
        <w:rPr>
          <w:i/>
          <w:iCs/>
        </w:rPr>
        <w:t xml:space="preserve">In vitro </w:t>
      </w:r>
      <w:r w:rsidRPr="00C81D64">
        <w:t xml:space="preserve">antibacterial and antifungal activities of extracts and fractions of leaves of </w:t>
      </w:r>
      <w:r w:rsidRPr="00C81D64">
        <w:rPr>
          <w:i/>
          <w:iCs/>
        </w:rPr>
        <w:t xml:space="preserve">Ricinus communis </w:t>
      </w:r>
      <w:r w:rsidRPr="00C81D64">
        <w:t xml:space="preserve">Linn against selected pathogens. Journal of Veterinary Medicine and Science. Wiley Publisher. DOI: 10.1002/vms3.772. </w:t>
      </w:r>
    </w:p>
    <w:p w14:paraId="5501E4F9" w14:textId="3CF7C457" w:rsidR="00C81D64" w:rsidRPr="00C81D64" w:rsidRDefault="00C81D64" w:rsidP="00C81D64">
      <w:pPr>
        <w:pStyle w:val="Default"/>
        <w:numPr>
          <w:ilvl w:val="0"/>
          <w:numId w:val="1"/>
        </w:numPr>
      </w:pPr>
      <w:r w:rsidRPr="00C81D64">
        <w:lastRenderedPageBreak/>
        <w:t xml:space="preserve">Alemayehu WZ., and Kebede B., 2021. Epidemiological study on bovine fasciolosis: Coprological, abattoir survey and its economic impact due to liver condemnation at Debre </w:t>
      </w:r>
      <w:proofErr w:type="spellStart"/>
      <w:r w:rsidRPr="00C81D64">
        <w:t>Berhan</w:t>
      </w:r>
      <w:proofErr w:type="spellEnd"/>
      <w:r w:rsidRPr="00C81D64">
        <w:t xml:space="preserve"> municipal abattoir, Ethiopia. J Vet Med Res 8(3): 1214. </w:t>
      </w:r>
    </w:p>
    <w:p w14:paraId="44BA0963" w14:textId="08340192" w:rsidR="00C81D64" w:rsidRPr="00C81D64" w:rsidRDefault="00C81D64" w:rsidP="00C81D64">
      <w:pPr>
        <w:pStyle w:val="Default"/>
        <w:numPr>
          <w:ilvl w:val="0"/>
          <w:numId w:val="1"/>
        </w:numPr>
      </w:pPr>
      <w:r w:rsidRPr="00C81D64">
        <w:t xml:space="preserve">Kebede B., </w:t>
      </w:r>
      <w:proofErr w:type="spellStart"/>
      <w:r w:rsidRPr="00C81D64">
        <w:t>Wakgari</w:t>
      </w:r>
      <w:proofErr w:type="spellEnd"/>
      <w:r w:rsidRPr="00C81D64">
        <w:t xml:space="preserve"> M., Tuli G., </w:t>
      </w:r>
      <w:proofErr w:type="spellStart"/>
      <w:r w:rsidRPr="00C81D64">
        <w:t>Kitila</w:t>
      </w:r>
      <w:proofErr w:type="spellEnd"/>
      <w:r w:rsidRPr="00C81D64">
        <w:t xml:space="preserve"> G., Bekele F., </w:t>
      </w:r>
      <w:r w:rsidRPr="00C81D64">
        <w:rPr>
          <w:i/>
          <w:iCs/>
        </w:rPr>
        <w:t>et al</w:t>
      </w:r>
      <w:r w:rsidRPr="00C81D64">
        <w:t xml:space="preserve">., 2021. Evaluation of the Effectiveness of </w:t>
      </w:r>
      <w:proofErr w:type="spellStart"/>
      <w:r w:rsidRPr="00C81D64">
        <w:t>Diazinone</w:t>
      </w:r>
      <w:proofErr w:type="spellEnd"/>
      <w:r w:rsidRPr="00C81D64">
        <w:t xml:space="preserve"> for the Control of Ectoparasites in Small Ruminants in Selected Districts of West </w:t>
      </w:r>
      <w:proofErr w:type="spellStart"/>
      <w:r w:rsidRPr="00C81D64">
        <w:t>Shoa</w:t>
      </w:r>
      <w:proofErr w:type="spellEnd"/>
      <w:r w:rsidRPr="00C81D64">
        <w:t xml:space="preserve">, Ethiopia. J Vet Med Res 8(2): 1212. </w:t>
      </w:r>
    </w:p>
    <w:p w14:paraId="3006E824" w14:textId="4E2CE7D9" w:rsidR="00C81D64" w:rsidRPr="00C81D64" w:rsidRDefault="00C81D64" w:rsidP="00C81D64">
      <w:pPr>
        <w:pStyle w:val="Default"/>
        <w:numPr>
          <w:ilvl w:val="0"/>
          <w:numId w:val="1"/>
        </w:numPr>
      </w:pPr>
      <w:proofErr w:type="spellStart"/>
      <w:r w:rsidRPr="00C81D64">
        <w:t>Kitila</w:t>
      </w:r>
      <w:proofErr w:type="spellEnd"/>
      <w:r w:rsidRPr="00C81D64">
        <w:t xml:space="preserve"> G., Kebede B., and </w:t>
      </w:r>
      <w:proofErr w:type="spellStart"/>
      <w:r w:rsidRPr="00C81D64">
        <w:t>Wakgari</w:t>
      </w:r>
      <w:proofErr w:type="spellEnd"/>
      <w:r w:rsidRPr="00C81D64">
        <w:t xml:space="preserve"> M., 2021. Prevalence, </w:t>
      </w:r>
      <w:proofErr w:type="gramStart"/>
      <w:r w:rsidRPr="00C81D64">
        <w:t>aetiology</w:t>
      </w:r>
      <w:proofErr w:type="gramEnd"/>
      <w:r w:rsidRPr="00C81D64">
        <w:t xml:space="preserve"> and risk factors of mastitis of dairy cows kept under extensive management system in west </w:t>
      </w:r>
      <w:proofErr w:type="spellStart"/>
      <w:r w:rsidRPr="00C81D64">
        <w:t>Wollega</w:t>
      </w:r>
      <w:proofErr w:type="spellEnd"/>
      <w:r w:rsidRPr="00C81D64">
        <w:t xml:space="preserve">, western Oromia, Ethiopia. Journal of Veterinary Medicine and Science. Wiley Publisher. DOI: 10.1002/vms3.503. </w:t>
      </w:r>
    </w:p>
    <w:p w14:paraId="61DDF80B" w14:textId="4B93FF04" w:rsidR="00C81D64" w:rsidRPr="00C81D64" w:rsidRDefault="00C81D64" w:rsidP="00C81D64">
      <w:pPr>
        <w:pStyle w:val="ListParagraph"/>
        <w:numPr>
          <w:ilvl w:val="0"/>
          <w:numId w:val="1"/>
        </w:numPr>
        <w:jc w:val="both"/>
        <w:rPr>
          <w:rFonts w:ascii="Times New Roman" w:hAnsi="Times New Roman" w:cs="Times New Roman"/>
          <w:b/>
          <w:bCs/>
          <w:sz w:val="24"/>
          <w:szCs w:val="24"/>
        </w:rPr>
      </w:pPr>
      <w:r w:rsidRPr="00C81D64">
        <w:rPr>
          <w:rFonts w:ascii="Times New Roman" w:hAnsi="Times New Roman" w:cs="Times New Roman"/>
          <w:sz w:val="24"/>
          <w:szCs w:val="24"/>
        </w:rPr>
        <w:t xml:space="preserve">Kebede B., </w:t>
      </w:r>
      <w:proofErr w:type="spellStart"/>
      <w:r w:rsidRPr="00C81D64">
        <w:rPr>
          <w:rFonts w:ascii="Times New Roman" w:hAnsi="Times New Roman" w:cs="Times New Roman"/>
          <w:sz w:val="24"/>
          <w:szCs w:val="24"/>
        </w:rPr>
        <w:t>Abay</w:t>
      </w:r>
      <w:proofErr w:type="spellEnd"/>
      <w:r w:rsidRPr="00C81D64">
        <w:rPr>
          <w:rFonts w:ascii="Times New Roman" w:hAnsi="Times New Roman" w:cs="Times New Roman"/>
          <w:sz w:val="24"/>
          <w:szCs w:val="24"/>
        </w:rPr>
        <w:t xml:space="preserve"> M., and </w:t>
      </w:r>
      <w:proofErr w:type="spellStart"/>
      <w:r w:rsidRPr="00C81D64">
        <w:rPr>
          <w:rFonts w:ascii="Times New Roman" w:hAnsi="Times New Roman" w:cs="Times New Roman"/>
          <w:sz w:val="24"/>
          <w:szCs w:val="24"/>
        </w:rPr>
        <w:t>Gunse</w:t>
      </w:r>
      <w:proofErr w:type="spellEnd"/>
      <w:r w:rsidRPr="00C81D64">
        <w:rPr>
          <w:rFonts w:ascii="Times New Roman" w:hAnsi="Times New Roman" w:cs="Times New Roman"/>
          <w:sz w:val="24"/>
          <w:szCs w:val="24"/>
        </w:rPr>
        <w:t xml:space="preserve"> T., 2020. Major Causes of Organs and Carcass Condemnation and Financial Losses in </w:t>
      </w:r>
      <w:proofErr w:type="spellStart"/>
      <w:r w:rsidRPr="00C81D64">
        <w:rPr>
          <w:rFonts w:ascii="Times New Roman" w:hAnsi="Times New Roman" w:cs="Times New Roman"/>
          <w:sz w:val="24"/>
          <w:szCs w:val="24"/>
        </w:rPr>
        <w:t>CattleSlaughtered</w:t>
      </w:r>
      <w:proofErr w:type="spellEnd"/>
      <w:r w:rsidRPr="00C81D64">
        <w:rPr>
          <w:rFonts w:ascii="Times New Roman" w:hAnsi="Times New Roman" w:cs="Times New Roman"/>
          <w:sz w:val="24"/>
          <w:szCs w:val="24"/>
        </w:rPr>
        <w:t xml:space="preserve"> at </w:t>
      </w:r>
      <w:proofErr w:type="spellStart"/>
      <w:r w:rsidRPr="00C81D64">
        <w:rPr>
          <w:rFonts w:ascii="Times New Roman" w:hAnsi="Times New Roman" w:cs="Times New Roman"/>
          <w:sz w:val="24"/>
          <w:szCs w:val="24"/>
        </w:rPr>
        <w:t>Adama</w:t>
      </w:r>
      <w:proofErr w:type="spellEnd"/>
      <w:r w:rsidRPr="00C81D64">
        <w:rPr>
          <w:rFonts w:ascii="Times New Roman" w:hAnsi="Times New Roman" w:cs="Times New Roman"/>
          <w:sz w:val="24"/>
          <w:szCs w:val="24"/>
        </w:rPr>
        <w:t xml:space="preserve"> Municipal Abattoir, </w:t>
      </w:r>
      <w:proofErr w:type="spellStart"/>
      <w:r w:rsidRPr="00C81D64">
        <w:rPr>
          <w:rFonts w:ascii="Times New Roman" w:hAnsi="Times New Roman" w:cs="Times New Roman"/>
          <w:sz w:val="24"/>
          <w:szCs w:val="24"/>
        </w:rPr>
        <w:t>Adama</w:t>
      </w:r>
      <w:proofErr w:type="spellEnd"/>
      <w:r w:rsidRPr="00C81D64">
        <w:rPr>
          <w:rFonts w:ascii="Times New Roman" w:hAnsi="Times New Roman" w:cs="Times New Roman"/>
          <w:sz w:val="24"/>
          <w:szCs w:val="24"/>
        </w:rPr>
        <w:t xml:space="preserve">, Ethiopia. International Journal of Economic </w:t>
      </w:r>
      <w:proofErr w:type="spellStart"/>
      <w:r w:rsidRPr="00C81D64">
        <w:rPr>
          <w:rFonts w:ascii="Times New Roman" w:hAnsi="Times New Roman" w:cs="Times New Roman"/>
          <w:sz w:val="24"/>
          <w:szCs w:val="24"/>
        </w:rPr>
        <w:t>Behavior</w:t>
      </w:r>
      <w:proofErr w:type="spellEnd"/>
      <w:r w:rsidRPr="00C81D64">
        <w:rPr>
          <w:rFonts w:ascii="Times New Roman" w:hAnsi="Times New Roman" w:cs="Times New Roman"/>
          <w:sz w:val="24"/>
          <w:szCs w:val="24"/>
        </w:rPr>
        <w:t xml:space="preserve"> and Organization. 8(2)31-37. </w:t>
      </w:r>
      <w:proofErr w:type="spellStart"/>
      <w:r w:rsidRPr="00C81D64">
        <w:rPr>
          <w:rFonts w:ascii="Times New Roman" w:hAnsi="Times New Roman" w:cs="Times New Roman"/>
          <w:sz w:val="24"/>
          <w:szCs w:val="24"/>
        </w:rPr>
        <w:t>doi</w:t>
      </w:r>
      <w:proofErr w:type="spellEnd"/>
      <w:r w:rsidRPr="00C81D64">
        <w:rPr>
          <w:rFonts w:ascii="Times New Roman" w:hAnsi="Times New Roman" w:cs="Times New Roman"/>
          <w:sz w:val="24"/>
          <w:szCs w:val="24"/>
        </w:rPr>
        <w:t xml:space="preserve">: 10.11648/j.ijebo.20200802.12.; </w:t>
      </w:r>
      <w:hyperlink r:id="rId5" w:history="1">
        <w:r w:rsidRPr="001C0491">
          <w:rPr>
            <w:rStyle w:val="Hyperlink"/>
            <w:rFonts w:ascii="Times New Roman" w:hAnsi="Times New Roman" w:cs="Times New Roman"/>
            <w:sz w:val="24"/>
            <w:szCs w:val="24"/>
          </w:rPr>
          <w:t>http://www.sciencepublishinggroup.com/j/ijebo</w:t>
        </w:r>
      </w:hyperlink>
    </w:p>
    <w:p w14:paraId="65F4A2FB" w14:textId="411DC2A0" w:rsidR="00C81D64" w:rsidRDefault="00C81D64" w:rsidP="00C81D64">
      <w:pPr>
        <w:jc w:val="both"/>
        <w:rPr>
          <w:rFonts w:ascii="Times New Roman" w:hAnsi="Times New Roman" w:cs="Times New Roman"/>
          <w:b/>
          <w:bCs/>
          <w:sz w:val="24"/>
          <w:szCs w:val="24"/>
        </w:rPr>
      </w:pPr>
    </w:p>
    <w:p w14:paraId="2DC03A56" w14:textId="00BC6D2B" w:rsidR="00C81D64" w:rsidRDefault="00C81D64" w:rsidP="00C81D64">
      <w:pPr>
        <w:jc w:val="both"/>
        <w:rPr>
          <w:rFonts w:ascii="Times New Roman" w:hAnsi="Times New Roman" w:cs="Times New Roman"/>
          <w:b/>
          <w:bCs/>
          <w:sz w:val="24"/>
          <w:szCs w:val="24"/>
        </w:rPr>
      </w:pPr>
      <w:r>
        <w:rPr>
          <w:rFonts w:ascii="Times New Roman" w:hAnsi="Times New Roman" w:cs="Times New Roman"/>
          <w:b/>
          <w:bCs/>
          <w:sz w:val="24"/>
          <w:szCs w:val="24"/>
        </w:rPr>
        <w:t>Biography</w:t>
      </w:r>
    </w:p>
    <w:p w14:paraId="57B4CA4F" w14:textId="1F380847" w:rsidR="00C81D64" w:rsidRPr="00C81D64" w:rsidRDefault="00C81D64" w:rsidP="00C81D64">
      <w:pPr>
        <w:jc w:val="both"/>
        <w:rPr>
          <w:rFonts w:ascii="Times New Roman" w:hAnsi="Times New Roman" w:cs="Times New Roman"/>
          <w:sz w:val="24"/>
          <w:szCs w:val="24"/>
        </w:rPr>
      </w:pPr>
      <w:r w:rsidRPr="00C81D64">
        <w:rPr>
          <w:rFonts w:ascii="Times New Roman" w:hAnsi="Times New Roman" w:cs="Times New Roman"/>
          <w:sz w:val="24"/>
          <w:szCs w:val="24"/>
        </w:rPr>
        <w:t xml:space="preserve">Dr. </w:t>
      </w:r>
      <w:proofErr w:type="spellStart"/>
      <w:r w:rsidRPr="00C81D64">
        <w:rPr>
          <w:rFonts w:ascii="Times New Roman" w:hAnsi="Times New Roman" w:cs="Times New Roman"/>
          <w:sz w:val="24"/>
          <w:szCs w:val="24"/>
        </w:rPr>
        <w:t>Bedaso</w:t>
      </w:r>
      <w:proofErr w:type="spellEnd"/>
      <w:r w:rsidRPr="00C81D64">
        <w:rPr>
          <w:rFonts w:ascii="Times New Roman" w:hAnsi="Times New Roman" w:cs="Times New Roman"/>
          <w:sz w:val="24"/>
          <w:szCs w:val="24"/>
        </w:rPr>
        <w:t xml:space="preserve"> Kebede has his expertise in diagnosis and investigation of animal diseases and analysis of food safety.</w:t>
      </w:r>
    </w:p>
    <w:sectPr w:rsidR="00C81D64" w:rsidRPr="00C81D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6E83"/>
    <w:multiLevelType w:val="hybridMultilevel"/>
    <w:tmpl w:val="ED206A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2657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A3B78"/>
    <w:rsid w:val="00020713"/>
    <w:rsid w:val="00505D5D"/>
    <w:rsid w:val="007D4CEF"/>
    <w:rsid w:val="008F45A4"/>
    <w:rsid w:val="009A430A"/>
    <w:rsid w:val="00BA384E"/>
    <w:rsid w:val="00C81D64"/>
    <w:rsid w:val="00DE3504"/>
    <w:rsid w:val="00EA3B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3E2DF"/>
  <w15:chartTrackingRefBased/>
  <w15:docId w15:val="{7CD7B1D3-4558-4434-81FC-3BE1DC88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1D6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1D64"/>
    <w:pPr>
      <w:ind w:left="720"/>
      <w:contextualSpacing/>
    </w:pPr>
  </w:style>
  <w:style w:type="character" w:styleId="Hyperlink">
    <w:name w:val="Hyperlink"/>
    <w:basedOn w:val="DefaultParagraphFont"/>
    <w:uiPriority w:val="99"/>
    <w:unhideWhenUsed/>
    <w:rsid w:val="00C81D64"/>
    <w:rPr>
      <w:color w:val="0563C1" w:themeColor="hyperlink"/>
      <w:u w:val="single"/>
    </w:rPr>
  </w:style>
  <w:style w:type="character" w:styleId="UnresolvedMention">
    <w:name w:val="Unresolved Mention"/>
    <w:basedOn w:val="DefaultParagraphFont"/>
    <w:uiPriority w:val="99"/>
    <w:semiHidden/>
    <w:unhideWhenUsed/>
    <w:rsid w:val="00C81D64"/>
    <w:rPr>
      <w:color w:val="605E5C"/>
      <w:shd w:val="clear" w:color="auto" w:fill="E1DFDD"/>
    </w:rPr>
  </w:style>
  <w:style w:type="paragraph" w:styleId="NormalWeb">
    <w:name w:val="Normal (Web)"/>
    <w:basedOn w:val="Normal"/>
    <w:uiPriority w:val="99"/>
    <w:semiHidden/>
    <w:unhideWhenUsed/>
    <w:rsid w:val="00020713"/>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ciencepublishinggroup.com/j/ijeb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594</Words>
  <Characters>3387</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3</cp:revision>
  <dcterms:created xsi:type="dcterms:W3CDTF">2022-11-08T05:11:00Z</dcterms:created>
  <dcterms:modified xsi:type="dcterms:W3CDTF">2022-11-08T05:18:00Z</dcterms:modified>
</cp:coreProperties>
</file>