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656" w:rsidRDefault="009D2656" w:rsidP="009D2656">
      <w:pPr>
        <w:rPr>
          <w:b/>
          <w:sz w:val="32"/>
        </w:rPr>
      </w:pPr>
      <w:bookmarkStart w:id="0" w:name="_GoBack"/>
      <w:r w:rsidRPr="009D2656">
        <w:rPr>
          <w:b/>
          <w:sz w:val="32"/>
        </w:rPr>
        <w:t>Effect of peripheral intravenous catheter type and material on therapy failure</w:t>
      </w:r>
      <w:r>
        <w:rPr>
          <w:b/>
          <w:sz w:val="32"/>
        </w:rPr>
        <w:t xml:space="preserve"> </w:t>
      </w:r>
      <w:r w:rsidRPr="009D2656">
        <w:rPr>
          <w:b/>
          <w:sz w:val="32"/>
        </w:rPr>
        <w:t>in a neonatal population</w:t>
      </w:r>
    </w:p>
    <w:bookmarkEnd w:id="0"/>
    <w:p w:rsidR="001472A1" w:rsidRDefault="001472A1" w:rsidP="009D2656">
      <w:pPr>
        <w:rPr>
          <w:b/>
          <w:sz w:val="32"/>
        </w:rPr>
      </w:pPr>
    </w:p>
    <w:p w:rsidR="009D2656" w:rsidRDefault="009D2656" w:rsidP="009D2656">
      <w:proofErr w:type="spellStart"/>
      <w:r w:rsidRPr="005E1B6B">
        <w:t>Matheus</w:t>
      </w:r>
      <w:proofErr w:type="spellEnd"/>
      <w:r w:rsidRPr="005E1B6B">
        <w:t xml:space="preserve"> FPT van </w:t>
      </w:r>
      <w:proofErr w:type="spellStart"/>
      <w:r w:rsidRPr="005E1B6B">
        <w:t>Rens</w:t>
      </w:r>
      <w:proofErr w:type="spellEnd"/>
      <w:r>
        <w:t>*</w:t>
      </w:r>
    </w:p>
    <w:p w:rsidR="001472A1" w:rsidRDefault="001472A1" w:rsidP="009D2656"/>
    <w:p w:rsidR="009D2656" w:rsidRPr="009D2656" w:rsidRDefault="009D2656" w:rsidP="009D2656">
      <w:pPr>
        <w:rPr>
          <w:b/>
          <w:sz w:val="28"/>
        </w:rPr>
      </w:pPr>
      <w:proofErr w:type="spellStart"/>
      <w:r w:rsidRPr="009D2656">
        <w:rPr>
          <w:rFonts w:eastAsia="Calibri"/>
          <w:sz w:val="22"/>
          <w:lang w:val="en-GB" w:eastAsia="en-US"/>
        </w:rPr>
        <w:t>Hamad</w:t>
      </w:r>
      <w:proofErr w:type="spellEnd"/>
      <w:r w:rsidRPr="009D2656">
        <w:rPr>
          <w:rFonts w:eastAsia="Calibri"/>
          <w:sz w:val="22"/>
          <w:lang w:val="en-GB" w:eastAsia="en-US"/>
        </w:rPr>
        <w:t xml:space="preserve"> Medical Corporation, Qatar</w:t>
      </w:r>
    </w:p>
    <w:p w:rsidR="009D2656" w:rsidRDefault="009D2656" w:rsidP="009D2656">
      <w:pPr>
        <w:autoSpaceDE w:val="0"/>
        <w:autoSpaceDN w:val="0"/>
        <w:adjustRightInd w:val="0"/>
        <w:jc w:val="center"/>
        <w:rPr>
          <w:b/>
        </w:rPr>
      </w:pPr>
      <w:r w:rsidRPr="002E752B">
        <w:rPr>
          <w:b/>
        </w:rPr>
        <w:t>Abstract</w:t>
      </w:r>
    </w:p>
    <w:p w:rsidR="001472A1" w:rsidRDefault="001472A1" w:rsidP="009D2656">
      <w:pPr>
        <w:autoSpaceDE w:val="0"/>
        <w:autoSpaceDN w:val="0"/>
        <w:adjustRightInd w:val="0"/>
        <w:jc w:val="center"/>
        <w:rPr>
          <w:b/>
        </w:rPr>
      </w:pPr>
    </w:p>
    <w:p w:rsidR="009D2656" w:rsidRPr="00BF73E8" w:rsidRDefault="009D2656" w:rsidP="001472A1">
      <w:pPr>
        <w:autoSpaceDE w:val="0"/>
        <w:autoSpaceDN w:val="0"/>
        <w:adjustRightInd w:val="0"/>
        <w:jc w:val="both"/>
        <w:rPr>
          <w:rFonts w:eastAsia="Calibri"/>
          <w:sz w:val="20"/>
          <w:szCs w:val="20"/>
          <w:lang w:val="en-GB" w:eastAsia="en-US"/>
        </w:rPr>
      </w:pPr>
      <w:r w:rsidRPr="00BF73E8">
        <w:rPr>
          <w:rFonts w:eastAsia="Calibri"/>
          <w:b/>
          <w:sz w:val="20"/>
          <w:szCs w:val="20"/>
          <w:lang w:val="en-GB" w:eastAsia="en-US"/>
        </w:rPr>
        <w:t>Background</w:t>
      </w:r>
      <w:r w:rsidRPr="00BF73E8">
        <w:rPr>
          <w:rFonts w:eastAsia="Calibri"/>
          <w:sz w:val="20"/>
          <w:szCs w:val="20"/>
          <w:lang w:val="en-GB" w:eastAsia="en-US"/>
        </w:rPr>
        <w:t>: In neonatal settings vascular access devices are essential for treatment. However, their use is not without risks. The design and materials of peripheral vascular access devices have been evaluated amongst adult populations, but contemporary studies in neonatal settings are scant.</w:t>
      </w:r>
    </w:p>
    <w:p w:rsidR="009D2656" w:rsidRPr="00BF73E8" w:rsidRDefault="009D2656" w:rsidP="001472A1">
      <w:pPr>
        <w:autoSpaceDE w:val="0"/>
        <w:autoSpaceDN w:val="0"/>
        <w:adjustRightInd w:val="0"/>
        <w:jc w:val="both"/>
        <w:rPr>
          <w:rFonts w:eastAsia="Calibri"/>
          <w:sz w:val="20"/>
          <w:szCs w:val="20"/>
          <w:lang w:val="en-GB" w:eastAsia="en-US"/>
        </w:rPr>
      </w:pPr>
    </w:p>
    <w:p w:rsidR="009D2656" w:rsidRPr="00BF73E8" w:rsidRDefault="009D2656" w:rsidP="001472A1">
      <w:pPr>
        <w:autoSpaceDE w:val="0"/>
        <w:autoSpaceDN w:val="0"/>
        <w:adjustRightInd w:val="0"/>
        <w:jc w:val="both"/>
        <w:rPr>
          <w:rFonts w:eastAsia="Calibri"/>
          <w:sz w:val="20"/>
          <w:szCs w:val="20"/>
          <w:lang w:val="en-GB" w:eastAsia="en-US"/>
        </w:rPr>
      </w:pPr>
      <w:r w:rsidRPr="00BF73E8">
        <w:rPr>
          <w:rFonts w:eastAsia="Calibri"/>
          <w:b/>
          <w:sz w:val="20"/>
          <w:szCs w:val="20"/>
          <w:lang w:val="en-GB" w:eastAsia="en-US"/>
        </w:rPr>
        <w:t>Purpose</w:t>
      </w:r>
      <w:r w:rsidRPr="00BF73E8">
        <w:rPr>
          <w:rFonts w:eastAsia="Calibri"/>
          <w:sz w:val="20"/>
          <w:szCs w:val="20"/>
          <w:lang w:val="en-GB" w:eastAsia="en-US"/>
        </w:rPr>
        <w:t>: This research describes the prevalence of peripheral intravenous catheter failure related to three different catheter types with the intent to identify modifiable risks that might be used to evaluate device efficacy, innovate neonatal practice, and support future policy developments.</w:t>
      </w:r>
    </w:p>
    <w:p w:rsidR="009D2656" w:rsidRPr="00BF73E8" w:rsidRDefault="009D2656" w:rsidP="001472A1">
      <w:pPr>
        <w:autoSpaceDE w:val="0"/>
        <w:autoSpaceDN w:val="0"/>
        <w:adjustRightInd w:val="0"/>
        <w:jc w:val="both"/>
        <w:rPr>
          <w:rFonts w:eastAsia="Calibri"/>
          <w:sz w:val="20"/>
          <w:szCs w:val="20"/>
          <w:lang w:val="en-GB" w:eastAsia="en-US"/>
        </w:rPr>
      </w:pPr>
    </w:p>
    <w:p w:rsidR="009D2656" w:rsidRPr="00BF73E8" w:rsidRDefault="009D2656" w:rsidP="001472A1">
      <w:pPr>
        <w:autoSpaceDE w:val="0"/>
        <w:autoSpaceDN w:val="0"/>
        <w:adjustRightInd w:val="0"/>
        <w:jc w:val="both"/>
        <w:rPr>
          <w:rFonts w:eastAsia="Calibri"/>
          <w:sz w:val="20"/>
          <w:szCs w:val="20"/>
          <w:lang w:val="en-GB" w:eastAsia="en-US"/>
        </w:rPr>
      </w:pPr>
      <w:r w:rsidRPr="00BF73E8">
        <w:rPr>
          <w:rFonts w:eastAsia="Calibri"/>
          <w:b/>
          <w:sz w:val="20"/>
          <w:szCs w:val="20"/>
          <w:lang w:val="en-GB" w:eastAsia="en-US"/>
        </w:rPr>
        <w:t>Method and setting</w:t>
      </w:r>
      <w:r w:rsidRPr="00BF73E8">
        <w:rPr>
          <w:rFonts w:eastAsia="Calibri"/>
          <w:sz w:val="20"/>
          <w:szCs w:val="20"/>
          <w:lang w:val="en-GB" w:eastAsia="en-US"/>
        </w:rPr>
        <w:t xml:space="preserve">: This was a retrospective observational analysis of routinely collected </w:t>
      </w:r>
      <w:proofErr w:type="spellStart"/>
      <w:r w:rsidRPr="00BF73E8">
        <w:rPr>
          <w:rFonts w:eastAsia="Calibri"/>
          <w:sz w:val="20"/>
          <w:szCs w:val="20"/>
          <w:lang w:val="en-GB" w:eastAsia="en-US"/>
        </w:rPr>
        <w:t>anonymized</w:t>
      </w:r>
      <w:proofErr w:type="spellEnd"/>
      <w:r w:rsidRPr="00BF73E8">
        <w:rPr>
          <w:rFonts w:eastAsia="Calibri"/>
          <w:sz w:val="20"/>
          <w:szCs w:val="20"/>
          <w:lang w:val="en-GB" w:eastAsia="en-US"/>
        </w:rPr>
        <w:t xml:space="preserve"> intravenous therapy</w:t>
      </w:r>
      <w:r w:rsidR="001472A1">
        <w:rPr>
          <w:rFonts w:eastAsia="Calibri"/>
          <w:sz w:val="20"/>
          <w:szCs w:val="20"/>
          <w:lang w:val="en-GB" w:eastAsia="en-US"/>
        </w:rPr>
        <w:t xml:space="preserve"> </w:t>
      </w:r>
      <w:r w:rsidRPr="00BF73E8">
        <w:rPr>
          <w:rFonts w:eastAsia="Calibri"/>
          <w:sz w:val="20"/>
          <w:szCs w:val="20"/>
          <w:lang w:val="en-GB" w:eastAsia="en-US"/>
        </w:rPr>
        <w:t xml:space="preserve">related data. The study was carried out at the tertiary neonatal intensive care unit (112 beds) of the Women’s Wellness and Research </w:t>
      </w:r>
      <w:proofErr w:type="spellStart"/>
      <w:r w:rsidRPr="00BF73E8">
        <w:rPr>
          <w:rFonts w:eastAsia="Calibri"/>
          <w:sz w:val="20"/>
          <w:szCs w:val="20"/>
          <w:lang w:val="en-GB" w:eastAsia="en-US"/>
        </w:rPr>
        <w:t>Center</w:t>
      </w:r>
      <w:proofErr w:type="spellEnd"/>
      <w:r w:rsidRPr="00BF73E8">
        <w:rPr>
          <w:rFonts w:eastAsia="Calibri"/>
          <w:sz w:val="20"/>
          <w:szCs w:val="20"/>
          <w:lang w:val="en-GB" w:eastAsia="en-US"/>
        </w:rPr>
        <w:t xml:space="preserve"> of </w:t>
      </w:r>
      <w:proofErr w:type="spellStart"/>
      <w:r w:rsidRPr="00BF73E8">
        <w:rPr>
          <w:rFonts w:eastAsia="Calibri"/>
          <w:sz w:val="20"/>
          <w:szCs w:val="20"/>
          <w:lang w:val="en-GB" w:eastAsia="en-US"/>
        </w:rPr>
        <w:t>Hamad</w:t>
      </w:r>
      <w:proofErr w:type="spellEnd"/>
      <w:r w:rsidRPr="00BF73E8">
        <w:rPr>
          <w:rFonts w:eastAsia="Calibri"/>
          <w:sz w:val="20"/>
          <w:szCs w:val="20"/>
          <w:lang w:val="en-GB" w:eastAsia="en-US"/>
        </w:rPr>
        <w:t xml:space="preserve"> Medical Corporation, Doha, Qatar.</w:t>
      </w:r>
    </w:p>
    <w:p w:rsidR="009D2656" w:rsidRPr="00BF73E8" w:rsidRDefault="009D2656" w:rsidP="001472A1">
      <w:pPr>
        <w:autoSpaceDE w:val="0"/>
        <w:autoSpaceDN w:val="0"/>
        <w:adjustRightInd w:val="0"/>
        <w:jc w:val="both"/>
        <w:rPr>
          <w:rFonts w:eastAsia="Calibri"/>
          <w:sz w:val="20"/>
          <w:szCs w:val="20"/>
          <w:lang w:val="en-GB" w:eastAsia="en-US"/>
        </w:rPr>
      </w:pPr>
    </w:p>
    <w:p w:rsidR="009D2656" w:rsidRPr="00BF73E8" w:rsidRDefault="009D2656" w:rsidP="001472A1">
      <w:pPr>
        <w:autoSpaceDE w:val="0"/>
        <w:autoSpaceDN w:val="0"/>
        <w:adjustRightInd w:val="0"/>
        <w:jc w:val="both"/>
        <w:rPr>
          <w:rFonts w:eastAsia="Calibri"/>
          <w:sz w:val="20"/>
          <w:szCs w:val="20"/>
          <w:lang w:val="en-GB" w:eastAsia="en-US"/>
        </w:rPr>
      </w:pPr>
      <w:r w:rsidRPr="00BF73E8">
        <w:rPr>
          <w:rFonts w:eastAsia="Calibri"/>
          <w:b/>
          <w:sz w:val="20"/>
          <w:szCs w:val="20"/>
          <w:lang w:val="en-GB" w:eastAsia="en-US"/>
        </w:rPr>
        <w:t>Results</w:t>
      </w:r>
      <w:r w:rsidRPr="00BF73E8">
        <w:rPr>
          <w:rFonts w:eastAsia="Calibri"/>
          <w:sz w:val="20"/>
          <w:szCs w:val="20"/>
          <w:lang w:val="en-GB" w:eastAsia="en-US"/>
        </w:rPr>
        <w:t>: Using different catheter types resulted in significantly less therapy failures as phlebitis and increased dwell time, compared to control groups. This remains significant after adjusting for age (gestation, insert), birth weight, and catheter type.</w:t>
      </w:r>
    </w:p>
    <w:p w:rsidR="009D2656" w:rsidRPr="00BF73E8" w:rsidRDefault="009D2656" w:rsidP="001472A1">
      <w:pPr>
        <w:autoSpaceDE w:val="0"/>
        <w:autoSpaceDN w:val="0"/>
        <w:adjustRightInd w:val="0"/>
        <w:jc w:val="both"/>
        <w:rPr>
          <w:rFonts w:eastAsia="Calibri"/>
          <w:sz w:val="20"/>
          <w:szCs w:val="20"/>
          <w:lang w:val="en-GB" w:eastAsia="en-US"/>
        </w:rPr>
      </w:pPr>
    </w:p>
    <w:p w:rsidR="009D2656" w:rsidRPr="00BF73E8" w:rsidRDefault="009D2656" w:rsidP="001472A1">
      <w:pPr>
        <w:autoSpaceDE w:val="0"/>
        <w:autoSpaceDN w:val="0"/>
        <w:adjustRightInd w:val="0"/>
        <w:jc w:val="both"/>
        <w:rPr>
          <w:rFonts w:eastAsia="Calibri"/>
          <w:sz w:val="20"/>
          <w:szCs w:val="20"/>
          <w:lang w:val="en-GB" w:eastAsia="en-US"/>
        </w:rPr>
      </w:pPr>
      <w:r w:rsidRPr="00BF73E8">
        <w:rPr>
          <w:rFonts w:eastAsia="Calibri"/>
          <w:b/>
          <w:sz w:val="20"/>
          <w:szCs w:val="20"/>
          <w:lang w:val="en-GB" w:eastAsia="en-US"/>
        </w:rPr>
        <w:t>Conclusion</w:t>
      </w:r>
      <w:r w:rsidRPr="00BF73E8">
        <w:rPr>
          <w:rFonts w:eastAsia="Calibri"/>
          <w:sz w:val="20"/>
          <w:szCs w:val="20"/>
          <w:lang w:val="en-GB" w:eastAsia="en-US"/>
        </w:rPr>
        <w:t xml:space="preserve">: The study’s findings are in accord with international literature concerning the superiority of </w:t>
      </w:r>
      <w:proofErr w:type="spellStart"/>
      <w:r w:rsidRPr="00BF73E8">
        <w:rPr>
          <w:rFonts w:eastAsia="Calibri"/>
          <w:sz w:val="20"/>
          <w:szCs w:val="20"/>
          <w:lang w:val="en-GB" w:eastAsia="en-US"/>
        </w:rPr>
        <w:t>Vialon</w:t>
      </w:r>
      <w:proofErr w:type="spellEnd"/>
      <w:r w:rsidRPr="00BF73E8">
        <w:rPr>
          <w:rFonts w:eastAsia="Calibri"/>
          <w:sz w:val="20"/>
          <w:szCs w:val="20"/>
          <w:lang w:val="en-GB" w:eastAsia="en-US"/>
        </w:rPr>
        <w:t xml:space="preserve"> (polyurethane) over Teflon (</w:t>
      </w:r>
      <w:proofErr w:type="spellStart"/>
      <w:r w:rsidRPr="00BF73E8">
        <w:rPr>
          <w:rFonts w:eastAsia="Calibri"/>
          <w:sz w:val="20"/>
          <w:szCs w:val="20"/>
          <w:lang w:val="en-GB" w:eastAsia="en-US"/>
        </w:rPr>
        <w:t>polytetrafluorethylene</w:t>
      </w:r>
      <w:proofErr w:type="spellEnd"/>
      <w:r w:rsidRPr="00BF73E8">
        <w:rPr>
          <w:rFonts w:eastAsia="Calibri"/>
          <w:sz w:val="20"/>
          <w:szCs w:val="20"/>
          <w:lang w:val="en-GB" w:eastAsia="en-US"/>
        </w:rPr>
        <w:t>) catheters with respect to the risk of phlebitis and longer dwell times. However, the risk of failure of therapy did not differ between catheters. This finding is reassuring and supports practitioner judgment when selecting peripheral catheter devices.</w:t>
      </w:r>
    </w:p>
    <w:p w:rsidR="00BF73E8" w:rsidRPr="009D2656" w:rsidRDefault="00BF73E8" w:rsidP="001472A1">
      <w:pPr>
        <w:autoSpaceDE w:val="0"/>
        <w:autoSpaceDN w:val="0"/>
        <w:adjustRightInd w:val="0"/>
        <w:jc w:val="both"/>
        <w:rPr>
          <w:rFonts w:eastAsia="Calibri"/>
          <w:sz w:val="20"/>
          <w:lang w:val="en-GB" w:eastAsia="en-US"/>
        </w:rPr>
      </w:pPr>
    </w:p>
    <w:p w:rsidR="009D2656" w:rsidRDefault="00BF73E8" w:rsidP="001472A1">
      <w:pPr>
        <w:autoSpaceDE w:val="0"/>
        <w:autoSpaceDN w:val="0"/>
        <w:adjustRightInd w:val="0"/>
        <w:jc w:val="both"/>
        <w:rPr>
          <w:b/>
        </w:rPr>
      </w:pPr>
      <w:r w:rsidRPr="00BF73E8">
        <w:rPr>
          <w:b/>
        </w:rPr>
        <w:t>References</w:t>
      </w:r>
    </w:p>
    <w:p w:rsidR="001472A1" w:rsidRDefault="001472A1" w:rsidP="001472A1">
      <w:pPr>
        <w:autoSpaceDE w:val="0"/>
        <w:autoSpaceDN w:val="0"/>
        <w:adjustRightInd w:val="0"/>
        <w:jc w:val="both"/>
        <w:rPr>
          <w:b/>
        </w:rPr>
      </w:pPr>
    </w:p>
    <w:p w:rsidR="00BF73E8" w:rsidRPr="00BF73E8" w:rsidRDefault="00BF73E8" w:rsidP="001472A1">
      <w:pPr>
        <w:pStyle w:val="ListParagraph"/>
        <w:numPr>
          <w:ilvl w:val="0"/>
          <w:numId w:val="1"/>
        </w:numPr>
        <w:autoSpaceDE w:val="0"/>
        <w:autoSpaceDN w:val="0"/>
        <w:adjustRightInd w:val="0"/>
        <w:jc w:val="both"/>
        <w:rPr>
          <w:rFonts w:asciiTheme="majorBidi" w:hAnsiTheme="majorBidi" w:cstheme="majorBidi"/>
          <w:b/>
          <w:color w:val="000000" w:themeColor="text1"/>
          <w:sz w:val="20"/>
        </w:rPr>
      </w:pPr>
      <w:r w:rsidRPr="00BF73E8">
        <w:rPr>
          <w:rFonts w:asciiTheme="majorBidi" w:eastAsia="TimesNewRomanPSMT" w:hAnsiTheme="majorBidi" w:cstheme="majorBidi"/>
          <w:sz w:val="20"/>
          <w:lang w:val="nl-NL"/>
        </w:rPr>
        <w:t xml:space="preserve">Legemaat M, Carr PJ, van Rens RM, et al. </w:t>
      </w:r>
      <w:r w:rsidRPr="00BF73E8">
        <w:rPr>
          <w:rFonts w:asciiTheme="majorBidi" w:eastAsia="TimesNewRomanPSMT" w:hAnsiTheme="majorBidi" w:cstheme="majorBidi"/>
          <w:sz w:val="20"/>
        </w:rPr>
        <w:t xml:space="preserve">Peripheral intra- venous </w:t>
      </w:r>
      <w:proofErr w:type="spellStart"/>
      <w:r w:rsidRPr="00BF73E8">
        <w:rPr>
          <w:rFonts w:asciiTheme="majorBidi" w:eastAsia="TimesNewRomanPSMT" w:hAnsiTheme="majorBidi" w:cstheme="majorBidi"/>
          <w:sz w:val="20"/>
        </w:rPr>
        <w:t>cannulation</w:t>
      </w:r>
      <w:proofErr w:type="spellEnd"/>
      <w:r w:rsidRPr="00BF73E8">
        <w:rPr>
          <w:rFonts w:asciiTheme="majorBidi" w:eastAsia="TimesNewRomanPSMT" w:hAnsiTheme="majorBidi" w:cstheme="majorBidi"/>
          <w:sz w:val="20"/>
        </w:rPr>
        <w:t xml:space="preserve">: complication rates in the neonatal pop- </w:t>
      </w:r>
      <w:proofErr w:type="spellStart"/>
      <w:r w:rsidRPr="00BF73E8">
        <w:rPr>
          <w:rFonts w:asciiTheme="majorBidi" w:eastAsia="TimesNewRomanPSMT" w:hAnsiTheme="majorBidi" w:cstheme="majorBidi"/>
          <w:sz w:val="20"/>
        </w:rPr>
        <w:t>ulation</w:t>
      </w:r>
      <w:proofErr w:type="spellEnd"/>
      <w:r w:rsidRPr="00BF73E8">
        <w:rPr>
          <w:rFonts w:asciiTheme="majorBidi" w:eastAsia="TimesNewRomanPSMT" w:hAnsiTheme="majorBidi" w:cstheme="majorBidi"/>
          <w:sz w:val="20"/>
        </w:rPr>
        <w:t xml:space="preserve">: a multicenter observational study. </w:t>
      </w:r>
      <w:r w:rsidRPr="00BF73E8">
        <w:rPr>
          <w:rFonts w:asciiTheme="majorBidi" w:hAnsiTheme="majorBidi" w:cstheme="majorBidi"/>
          <w:i/>
          <w:iCs/>
          <w:sz w:val="20"/>
        </w:rPr>
        <w:t xml:space="preserve">J </w:t>
      </w:r>
      <w:proofErr w:type="spellStart"/>
      <w:r w:rsidRPr="00BF73E8">
        <w:rPr>
          <w:rFonts w:asciiTheme="majorBidi" w:hAnsiTheme="majorBidi" w:cstheme="majorBidi"/>
          <w:i/>
          <w:iCs/>
          <w:sz w:val="20"/>
        </w:rPr>
        <w:t>Vasc</w:t>
      </w:r>
      <w:proofErr w:type="spellEnd"/>
      <w:r w:rsidRPr="00BF73E8">
        <w:rPr>
          <w:rFonts w:asciiTheme="majorBidi" w:hAnsiTheme="majorBidi" w:cstheme="majorBidi"/>
          <w:i/>
          <w:iCs/>
          <w:sz w:val="20"/>
        </w:rPr>
        <w:t xml:space="preserve"> Access </w:t>
      </w:r>
      <w:r w:rsidRPr="00BF73E8">
        <w:rPr>
          <w:rFonts w:asciiTheme="majorBidi" w:eastAsia="TimesNewRomanPSMT" w:hAnsiTheme="majorBidi" w:cstheme="majorBidi"/>
          <w:sz w:val="20"/>
        </w:rPr>
        <w:t xml:space="preserve">2016; 17(4): 360–365. </w:t>
      </w:r>
    </w:p>
    <w:p w:rsidR="00BF73E8" w:rsidRPr="00BF73E8" w:rsidRDefault="00BF73E8" w:rsidP="001472A1">
      <w:pPr>
        <w:pStyle w:val="ListParagraph"/>
        <w:numPr>
          <w:ilvl w:val="0"/>
          <w:numId w:val="1"/>
        </w:numPr>
        <w:autoSpaceDE w:val="0"/>
        <w:autoSpaceDN w:val="0"/>
        <w:adjustRightInd w:val="0"/>
        <w:jc w:val="both"/>
        <w:rPr>
          <w:rFonts w:asciiTheme="majorBidi" w:hAnsiTheme="majorBidi" w:cstheme="majorBidi"/>
          <w:b/>
          <w:color w:val="000000" w:themeColor="text1"/>
          <w:sz w:val="20"/>
        </w:rPr>
      </w:pPr>
      <w:proofErr w:type="spellStart"/>
      <w:r w:rsidRPr="00BF73E8">
        <w:rPr>
          <w:rFonts w:asciiTheme="majorBidi" w:eastAsia="TimesNewRomanPSMT" w:hAnsiTheme="majorBidi" w:cstheme="majorBidi"/>
          <w:sz w:val="20"/>
        </w:rPr>
        <w:t>Indarwati</w:t>
      </w:r>
      <w:proofErr w:type="spellEnd"/>
      <w:r w:rsidRPr="00BF73E8">
        <w:rPr>
          <w:rFonts w:asciiTheme="majorBidi" w:eastAsia="TimesNewRomanPSMT" w:hAnsiTheme="majorBidi" w:cstheme="majorBidi"/>
          <w:sz w:val="20"/>
        </w:rPr>
        <w:t xml:space="preserve"> F, Mathew S, </w:t>
      </w:r>
      <w:proofErr w:type="spellStart"/>
      <w:r w:rsidRPr="00BF73E8">
        <w:rPr>
          <w:rFonts w:asciiTheme="majorBidi" w:eastAsia="TimesNewRomanPSMT" w:hAnsiTheme="majorBidi" w:cstheme="majorBidi"/>
          <w:sz w:val="20"/>
        </w:rPr>
        <w:t>Munday</w:t>
      </w:r>
      <w:proofErr w:type="spellEnd"/>
      <w:r w:rsidRPr="00BF73E8">
        <w:rPr>
          <w:rFonts w:asciiTheme="majorBidi" w:eastAsia="TimesNewRomanPSMT" w:hAnsiTheme="majorBidi" w:cstheme="majorBidi"/>
          <w:sz w:val="20"/>
        </w:rPr>
        <w:t xml:space="preserve"> J, et al. Incidence of peripheral intravenous catheter failure and complications in </w:t>
      </w:r>
      <w:proofErr w:type="spellStart"/>
      <w:r w:rsidRPr="00BF73E8">
        <w:rPr>
          <w:rFonts w:asciiTheme="majorBidi" w:eastAsia="TimesNewRomanPSMT" w:hAnsiTheme="majorBidi" w:cstheme="majorBidi"/>
          <w:sz w:val="20"/>
        </w:rPr>
        <w:t>paediatric</w:t>
      </w:r>
      <w:proofErr w:type="spellEnd"/>
      <w:r w:rsidRPr="00BF73E8">
        <w:rPr>
          <w:rFonts w:asciiTheme="majorBidi" w:eastAsia="TimesNewRomanPSMT" w:hAnsiTheme="majorBidi" w:cstheme="majorBidi"/>
          <w:sz w:val="20"/>
        </w:rPr>
        <w:t xml:space="preserve"> patients: systematic review and </w:t>
      </w:r>
      <w:proofErr w:type="spellStart"/>
      <w:r w:rsidRPr="00BF73E8">
        <w:rPr>
          <w:rFonts w:asciiTheme="majorBidi" w:eastAsia="TimesNewRomanPSMT" w:hAnsiTheme="majorBidi" w:cstheme="majorBidi"/>
          <w:sz w:val="20"/>
        </w:rPr>
        <w:t>meta analysis</w:t>
      </w:r>
      <w:proofErr w:type="spellEnd"/>
      <w:r w:rsidRPr="00BF73E8">
        <w:rPr>
          <w:rFonts w:asciiTheme="majorBidi" w:eastAsia="TimesNewRomanPSMT" w:hAnsiTheme="majorBidi" w:cstheme="majorBidi"/>
          <w:sz w:val="20"/>
        </w:rPr>
        <w:t xml:space="preserve">. </w:t>
      </w:r>
      <w:proofErr w:type="spellStart"/>
      <w:r w:rsidRPr="00BF73E8">
        <w:rPr>
          <w:rFonts w:asciiTheme="majorBidi" w:hAnsiTheme="majorBidi" w:cstheme="majorBidi"/>
          <w:i/>
          <w:iCs/>
          <w:sz w:val="20"/>
        </w:rPr>
        <w:t>Int</w:t>
      </w:r>
      <w:proofErr w:type="spellEnd"/>
      <w:r w:rsidRPr="00BF73E8">
        <w:rPr>
          <w:rFonts w:asciiTheme="majorBidi" w:hAnsiTheme="majorBidi" w:cstheme="majorBidi"/>
          <w:i/>
          <w:iCs/>
          <w:sz w:val="20"/>
        </w:rPr>
        <w:t xml:space="preserve"> J </w:t>
      </w:r>
      <w:proofErr w:type="spellStart"/>
      <w:r w:rsidRPr="00BF73E8">
        <w:rPr>
          <w:rFonts w:asciiTheme="majorBidi" w:hAnsiTheme="majorBidi" w:cstheme="majorBidi"/>
          <w:i/>
          <w:iCs/>
          <w:sz w:val="20"/>
        </w:rPr>
        <w:t>Nurs</w:t>
      </w:r>
      <w:proofErr w:type="spellEnd"/>
      <w:r w:rsidRPr="00BF73E8">
        <w:rPr>
          <w:rFonts w:asciiTheme="majorBidi" w:hAnsiTheme="majorBidi" w:cstheme="majorBidi"/>
          <w:i/>
          <w:iCs/>
          <w:sz w:val="20"/>
        </w:rPr>
        <w:t xml:space="preserve"> Stud </w:t>
      </w:r>
      <w:r w:rsidRPr="00BF73E8">
        <w:rPr>
          <w:rFonts w:asciiTheme="majorBidi" w:eastAsia="TimesNewRomanPSMT" w:hAnsiTheme="majorBidi" w:cstheme="majorBidi"/>
          <w:sz w:val="20"/>
        </w:rPr>
        <w:t xml:space="preserve">2020; 102: 103488. </w:t>
      </w:r>
    </w:p>
    <w:p w:rsidR="00BF73E8" w:rsidRPr="00BF73E8" w:rsidRDefault="00BF73E8" w:rsidP="001472A1">
      <w:pPr>
        <w:pStyle w:val="ListParagraph"/>
        <w:numPr>
          <w:ilvl w:val="0"/>
          <w:numId w:val="1"/>
        </w:numPr>
        <w:autoSpaceDE w:val="0"/>
        <w:autoSpaceDN w:val="0"/>
        <w:adjustRightInd w:val="0"/>
        <w:jc w:val="both"/>
        <w:rPr>
          <w:rFonts w:asciiTheme="majorBidi" w:hAnsiTheme="majorBidi" w:cstheme="majorBidi"/>
          <w:b/>
          <w:color w:val="000000" w:themeColor="text1"/>
          <w:sz w:val="20"/>
        </w:rPr>
      </w:pPr>
      <w:r w:rsidRPr="00BF73E8">
        <w:rPr>
          <w:rFonts w:asciiTheme="majorBidi" w:eastAsia="TimesNewRomanPSMT" w:hAnsiTheme="majorBidi" w:cstheme="majorBidi"/>
          <w:sz w:val="20"/>
          <w:lang w:val="nl-NL"/>
        </w:rPr>
        <w:t xml:space="preserve">Van Rens MFPT, Hugill K, Mahmah MA, et al. </w:t>
      </w:r>
      <w:r w:rsidRPr="00BF73E8">
        <w:rPr>
          <w:rFonts w:asciiTheme="majorBidi" w:eastAsia="TimesNewRomanPSMT" w:hAnsiTheme="majorBidi" w:cstheme="majorBidi"/>
          <w:sz w:val="20"/>
        </w:rPr>
        <w:t xml:space="preserve">Evaluation of </w:t>
      </w:r>
      <w:proofErr w:type="spellStart"/>
      <w:r w:rsidRPr="00BF73E8">
        <w:rPr>
          <w:rFonts w:asciiTheme="majorBidi" w:eastAsia="TimesNewRomanPSMT" w:hAnsiTheme="majorBidi" w:cstheme="majorBidi"/>
          <w:sz w:val="20"/>
        </w:rPr>
        <w:t>unmodifiable</w:t>
      </w:r>
      <w:proofErr w:type="spellEnd"/>
      <w:r w:rsidRPr="00BF73E8">
        <w:rPr>
          <w:rFonts w:asciiTheme="majorBidi" w:eastAsia="TimesNewRomanPSMT" w:hAnsiTheme="majorBidi" w:cstheme="majorBidi"/>
          <w:sz w:val="20"/>
        </w:rPr>
        <w:t xml:space="preserve"> and potentially modifiable factors affecting peripheral intravenous device-related complications in neo- </w:t>
      </w:r>
      <w:proofErr w:type="spellStart"/>
      <w:r w:rsidRPr="00BF73E8">
        <w:rPr>
          <w:rFonts w:asciiTheme="majorBidi" w:eastAsia="TimesNewRomanPSMT" w:hAnsiTheme="majorBidi" w:cstheme="majorBidi"/>
          <w:sz w:val="20"/>
        </w:rPr>
        <w:t>nates</w:t>
      </w:r>
      <w:proofErr w:type="spellEnd"/>
      <w:r w:rsidRPr="00BF73E8">
        <w:rPr>
          <w:rFonts w:asciiTheme="majorBidi" w:eastAsia="TimesNewRomanPSMT" w:hAnsiTheme="majorBidi" w:cstheme="majorBidi"/>
          <w:sz w:val="20"/>
        </w:rPr>
        <w:t xml:space="preserve">: a retrospective observational study. </w:t>
      </w:r>
      <w:r w:rsidRPr="00BF73E8">
        <w:rPr>
          <w:rFonts w:asciiTheme="majorBidi" w:hAnsiTheme="majorBidi" w:cstheme="majorBidi"/>
          <w:i/>
          <w:iCs/>
          <w:sz w:val="20"/>
        </w:rPr>
        <w:t xml:space="preserve">BMJ Open </w:t>
      </w:r>
      <w:r w:rsidRPr="00BF73E8">
        <w:rPr>
          <w:rFonts w:asciiTheme="majorBidi" w:eastAsia="TimesNewRomanPSMT" w:hAnsiTheme="majorBidi" w:cstheme="majorBidi"/>
          <w:sz w:val="20"/>
        </w:rPr>
        <w:t xml:space="preserve">2021; 11: e047788. </w:t>
      </w:r>
    </w:p>
    <w:p w:rsidR="00BF73E8" w:rsidRPr="00BF73E8" w:rsidRDefault="00BF73E8" w:rsidP="001472A1">
      <w:pPr>
        <w:pStyle w:val="ListParagraph"/>
        <w:numPr>
          <w:ilvl w:val="0"/>
          <w:numId w:val="1"/>
        </w:numPr>
        <w:autoSpaceDE w:val="0"/>
        <w:autoSpaceDN w:val="0"/>
        <w:adjustRightInd w:val="0"/>
        <w:jc w:val="both"/>
        <w:rPr>
          <w:rFonts w:asciiTheme="majorBidi" w:hAnsiTheme="majorBidi" w:cstheme="majorBidi"/>
          <w:b/>
          <w:color w:val="000000" w:themeColor="text1"/>
          <w:sz w:val="20"/>
        </w:rPr>
      </w:pPr>
      <w:proofErr w:type="spellStart"/>
      <w:r w:rsidRPr="00BF73E8">
        <w:rPr>
          <w:rFonts w:asciiTheme="majorBidi" w:eastAsia="TimesNewRomanPSMT" w:hAnsiTheme="majorBidi" w:cstheme="majorBidi"/>
          <w:sz w:val="20"/>
        </w:rPr>
        <w:t>Hugill</w:t>
      </w:r>
      <w:proofErr w:type="spellEnd"/>
      <w:r w:rsidRPr="00BF73E8">
        <w:rPr>
          <w:rFonts w:asciiTheme="majorBidi" w:eastAsia="TimesNewRomanPSMT" w:hAnsiTheme="majorBidi" w:cstheme="majorBidi"/>
          <w:sz w:val="20"/>
        </w:rPr>
        <w:t xml:space="preserve"> K. Vascular access in neonatal care settings: select- </w:t>
      </w:r>
      <w:proofErr w:type="spellStart"/>
      <w:r w:rsidRPr="00BF73E8">
        <w:rPr>
          <w:rFonts w:asciiTheme="majorBidi" w:eastAsia="TimesNewRomanPSMT" w:hAnsiTheme="majorBidi" w:cstheme="majorBidi"/>
          <w:sz w:val="20"/>
        </w:rPr>
        <w:t>ing</w:t>
      </w:r>
      <w:proofErr w:type="spellEnd"/>
      <w:r w:rsidRPr="00BF73E8">
        <w:rPr>
          <w:rFonts w:asciiTheme="majorBidi" w:eastAsia="TimesNewRomanPSMT" w:hAnsiTheme="majorBidi" w:cstheme="majorBidi"/>
          <w:sz w:val="20"/>
        </w:rPr>
        <w:t xml:space="preserve"> the appropriate device. </w:t>
      </w:r>
      <w:r w:rsidRPr="00BF73E8">
        <w:rPr>
          <w:rFonts w:asciiTheme="majorBidi" w:eastAsia="TimesNewRomanPSMT" w:hAnsiTheme="majorBidi" w:cstheme="majorBidi"/>
          <w:i/>
          <w:iCs/>
          <w:sz w:val="20"/>
        </w:rPr>
        <w:t xml:space="preserve">Brit J </w:t>
      </w:r>
      <w:proofErr w:type="spellStart"/>
      <w:r w:rsidRPr="00BF73E8">
        <w:rPr>
          <w:rFonts w:asciiTheme="majorBidi" w:eastAsia="TimesNewRomanPSMT" w:hAnsiTheme="majorBidi" w:cstheme="majorBidi"/>
          <w:i/>
          <w:iCs/>
          <w:sz w:val="20"/>
        </w:rPr>
        <w:t>Nur</w:t>
      </w:r>
      <w:proofErr w:type="spellEnd"/>
      <w:r w:rsidRPr="00BF73E8">
        <w:rPr>
          <w:rFonts w:asciiTheme="majorBidi" w:eastAsia="TimesNewRomanPSMT" w:hAnsiTheme="majorBidi" w:cstheme="majorBidi"/>
          <w:i/>
          <w:iCs/>
          <w:sz w:val="20"/>
        </w:rPr>
        <w:t xml:space="preserve"> </w:t>
      </w:r>
      <w:r w:rsidRPr="00BF73E8">
        <w:rPr>
          <w:rFonts w:asciiTheme="majorBidi" w:eastAsia="TimesNewRomanPSMT" w:hAnsiTheme="majorBidi" w:cstheme="majorBidi"/>
          <w:sz w:val="20"/>
        </w:rPr>
        <w:t xml:space="preserve">2016; 25(3): 171–176. </w:t>
      </w:r>
    </w:p>
    <w:p w:rsidR="00BF73E8" w:rsidRPr="001472A1" w:rsidRDefault="00BF73E8" w:rsidP="001472A1">
      <w:pPr>
        <w:pStyle w:val="NormalWeb"/>
        <w:numPr>
          <w:ilvl w:val="0"/>
          <w:numId w:val="1"/>
        </w:numPr>
        <w:jc w:val="both"/>
        <w:rPr>
          <w:rFonts w:asciiTheme="majorBidi" w:hAnsiTheme="majorBidi" w:cstheme="majorBidi"/>
          <w:sz w:val="20"/>
        </w:rPr>
      </w:pPr>
      <w:proofErr w:type="spellStart"/>
      <w:r w:rsidRPr="00BF73E8">
        <w:rPr>
          <w:rFonts w:asciiTheme="majorBidi" w:eastAsia="TimesNewRomanPSMT" w:hAnsiTheme="majorBidi" w:cstheme="majorBidi"/>
          <w:sz w:val="20"/>
        </w:rPr>
        <w:t>Gorski</w:t>
      </w:r>
      <w:proofErr w:type="spellEnd"/>
      <w:r w:rsidRPr="00BF73E8">
        <w:rPr>
          <w:rFonts w:asciiTheme="majorBidi" w:eastAsia="TimesNewRomanPSMT" w:hAnsiTheme="majorBidi" w:cstheme="majorBidi"/>
          <w:sz w:val="20"/>
        </w:rPr>
        <w:t xml:space="preserve"> LA, </w:t>
      </w:r>
      <w:proofErr w:type="spellStart"/>
      <w:r w:rsidRPr="00BF73E8">
        <w:rPr>
          <w:rFonts w:asciiTheme="majorBidi" w:eastAsia="TimesNewRomanPSMT" w:hAnsiTheme="majorBidi" w:cstheme="majorBidi"/>
          <w:sz w:val="20"/>
        </w:rPr>
        <w:t>Hadaway</w:t>
      </w:r>
      <w:proofErr w:type="spellEnd"/>
      <w:r w:rsidRPr="00BF73E8">
        <w:rPr>
          <w:rFonts w:asciiTheme="majorBidi" w:eastAsia="TimesNewRomanPSMT" w:hAnsiTheme="majorBidi" w:cstheme="majorBidi"/>
          <w:sz w:val="20"/>
        </w:rPr>
        <w:t xml:space="preserve"> L, </w:t>
      </w:r>
      <w:proofErr w:type="spellStart"/>
      <w:r w:rsidRPr="00BF73E8">
        <w:rPr>
          <w:rFonts w:asciiTheme="majorBidi" w:eastAsia="TimesNewRomanPSMT" w:hAnsiTheme="majorBidi" w:cstheme="majorBidi"/>
          <w:sz w:val="20"/>
        </w:rPr>
        <w:t>Hagle</w:t>
      </w:r>
      <w:proofErr w:type="spellEnd"/>
      <w:r w:rsidRPr="00BF73E8">
        <w:rPr>
          <w:rFonts w:asciiTheme="majorBidi" w:eastAsia="TimesNewRomanPSMT" w:hAnsiTheme="majorBidi" w:cstheme="majorBidi"/>
          <w:sz w:val="20"/>
        </w:rPr>
        <w:t xml:space="preserve"> ME, et al. Infusion therapy standards of practice, 8th edition. </w:t>
      </w:r>
      <w:r w:rsidRPr="00BF73E8">
        <w:rPr>
          <w:rFonts w:asciiTheme="majorBidi" w:hAnsiTheme="majorBidi" w:cstheme="majorBidi"/>
          <w:i/>
          <w:iCs/>
          <w:sz w:val="20"/>
        </w:rPr>
        <w:t xml:space="preserve">J </w:t>
      </w:r>
      <w:proofErr w:type="spellStart"/>
      <w:r w:rsidRPr="00BF73E8">
        <w:rPr>
          <w:rFonts w:asciiTheme="majorBidi" w:hAnsiTheme="majorBidi" w:cstheme="majorBidi"/>
          <w:i/>
          <w:iCs/>
          <w:sz w:val="20"/>
        </w:rPr>
        <w:t>Infus</w:t>
      </w:r>
      <w:proofErr w:type="spellEnd"/>
      <w:r w:rsidRPr="00BF73E8">
        <w:rPr>
          <w:rFonts w:asciiTheme="majorBidi" w:hAnsiTheme="majorBidi" w:cstheme="majorBidi"/>
          <w:i/>
          <w:iCs/>
          <w:sz w:val="20"/>
        </w:rPr>
        <w:t xml:space="preserve"> </w:t>
      </w:r>
      <w:proofErr w:type="spellStart"/>
      <w:r w:rsidRPr="00BF73E8">
        <w:rPr>
          <w:rFonts w:asciiTheme="majorBidi" w:hAnsiTheme="majorBidi" w:cstheme="majorBidi"/>
          <w:i/>
          <w:iCs/>
          <w:sz w:val="20"/>
        </w:rPr>
        <w:t>Nurs</w:t>
      </w:r>
      <w:proofErr w:type="spellEnd"/>
      <w:r w:rsidRPr="00BF73E8">
        <w:rPr>
          <w:rFonts w:asciiTheme="majorBidi" w:hAnsiTheme="majorBidi" w:cstheme="majorBidi"/>
          <w:i/>
          <w:iCs/>
          <w:sz w:val="20"/>
        </w:rPr>
        <w:t xml:space="preserve"> </w:t>
      </w:r>
      <w:r w:rsidRPr="00BF73E8">
        <w:rPr>
          <w:rFonts w:asciiTheme="majorBidi" w:eastAsia="TimesNewRomanPSMT" w:hAnsiTheme="majorBidi" w:cstheme="majorBidi"/>
          <w:sz w:val="20"/>
        </w:rPr>
        <w:t xml:space="preserve">2021; 44(1S </w:t>
      </w:r>
      <w:proofErr w:type="spellStart"/>
      <w:r w:rsidRPr="00BF73E8">
        <w:rPr>
          <w:rFonts w:asciiTheme="majorBidi" w:eastAsia="TimesNewRomanPSMT" w:hAnsiTheme="majorBidi" w:cstheme="majorBidi"/>
          <w:sz w:val="20"/>
        </w:rPr>
        <w:t>Suppl</w:t>
      </w:r>
      <w:proofErr w:type="spellEnd"/>
      <w:r w:rsidRPr="00BF73E8">
        <w:rPr>
          <w:rFonts w:asciiTheme="majorBidi" w:eastAsia="TimesNewRomanPSMT" w:hAnsiTheme="majorBidi" w:cstheme="majorBidi"/>
          <w:sz w:val="20"/>
        </w:rPr>
        <w:t xml:space="preserve"> 1): S1–S224.</w:t>
      </w:r>
    </w:p>
    <w:p w:rsidR="00BF73E8" w:rsidRDefault="00BF73E8" w:rsidP="00BF73E8">
      <w:pPr>
        <w:rPr>
          <w:b/>
        </w:rPr>
      </w:pPr>
      <w:r w:rsidRPr="005B7D07">
        <w:rPr>
          <w:b/>
        </w:rPr>
        <w:t>Biography</w:t>
      </w:r>
      <w:r>
        <w:rPr>
          <w:b/>
        </w:rPr>
        <w:t xml:space="preserve"> </w:t>
      </w:r>
    </w:p>
    <w:p w:rsidR="00BF73E8" w:rsidRPr="005B7D07" w:rsidRDefault="00BF73E8" w:rsidP="00BF73E8">
      <w:pPr>
        <w:rPr>
          <w:b/>
        </w:rPr>
      </w:pPr>
    </w:p>
    <w:p w:rsidR="00BF73E8" w:rsidRPr="00BF73E8" w:rsidRDefault="00BF73E8" w:rsidP="001472A1">
      <w:pPr>
        <w:spacing w:after="200"/>
        <w:jc w:val="both"/>
        <w:rPr>
          <w:rFonts w:cstheme="minorHAnsi"/>
          <w:color w:val="000000" w:themeColor="text1"/>
          <w:sz w:val="20"/>
        </w:rPr>
      </w:pPr>
      <w:proofErr w:type="spellStart"/>
      <w:r w:rsidRPr="001472A1">
        <w:rPr>
          <w:rFonts w:cstheme="minorHAnsi"/>
          <w:bCs/>
          <w:color w:val="000000" w:themeColor="text1"/>
          <w:sz w:val="20"/>
        </w:rPr>
        <w:t>Matheus</w:t>
      </w:r>
      <w:proofErr w:type="spellEnd"/>
      <w:r w:rsidRPr="001472A1">
        <w:rPr>
          <w:rFonts w:cstheme="minorHAnsi"/>
          <w:bCs/>
          <w:color w:val="000000" w:themeColor="text1"/>
          <w:sz w:val="20"/>
        </w:rPr>
        <w:t xml:space="preserve"> (‘Roland’) van </w:t>
      </w:r>
      <w:proofErr w:type="spellStart"/>
      <w:r w:rsidRPr="001472A1">
        <w:rPr>
          <w:rFonts w:cstheme="minorHAnsi"/>
          <w:bCs/>
          <w:color w:val="000000" w:themeColor="text1"/>
          <w:sz w:val="20"/>
        </w:rPr>
        <w:t>Ren</w:t>
      </w:r>
      <w:r w:rsidRPr="00BF73E8">
        <w:rPr>
          <w:rFonts w:cstheme="minorHAnsi"/>
          <w:b/>
          <w:bCs/>
          <w:color w:val="000000" w:themeColor="text1"/>
          <w:sz w:val="20"/>
        </w:rPr>
        <w:t>s</w:t>
      </w:r>
      <w:proofErr w:type="spellEnd"/>
      <w:r w:rsidRPr="00BF73E8">
        <w:rPr>
          <w:rFonts w:cstheme="minorHAnsi"/>
          <w:b/>
          <w:bCs/>
          <w:color w:val="000000" w:themeColor="text1"/>
          <w:sz w:val="20"/>
        </w:rPr>
        <w:t xml:space="preserve"> </w:t>
      </w:r>
      <w:r w:rsidRPr="00BF73E8">
        <w:rPr>
          <w:rFonts w:cstheme="minorHAnsi"/>
          <w:color w:val="000000" w:themeColor="text1"/>
          <w:sz w:val="20"/>
        </w:rPr>
        <w:t>has over twenty years clinical experience in neonatal nursing and holds a MA in Advanced Nursing Practice (Ma ANP), from Erasmus University, the Netherlands. He has worked as an advanced neonatal nurse practitioner, performing complex vascular access procedures, developed, and delivered multi-professional education activities and carried out clinical research in Europe and more recently in the Middle East. Latterly as a Clinical Director of Nursing for the newborn intensive care unit (NICU) at Women’s Wellness and Research Center, Qatar. His research engages with issues around improving neonatal care, most notably around the broad topic of vascular access. With his international research collaborators and co-authors, he has presented at international</w:t>
      </w:r>
      <w:r>
        <w:rPr>
          <w:rFonts w:cstheme="minorHAnsi"/>
          <w:color w:val="000000" w:themeColor="text1"/>
          <w:sz w:val="20"/>
        </w:rPr>
        <w:t xml:space="preserve"> </w:t>
      </w:r>
      <w:r w:rsidRPr="00BF73E8">
        <w:rPr>
          <w:rFonts w:cstheme="minorHAnsi"/>
          <w:color w:val="000000" w:themeColor="text1"/>
          <w:sz w:val="20"/>
        </w:rPr>
        <w:t>conferences and published several referred journal articles concerning neonatal vascular access, infusion therapy and related technology. Currently, he is preparing for his PhD study in the Netherlands.</w:t>
      </w:r>
    </w:p>
    <w:p w:rsidR="00BF73E8" w:rsidRPr="00BF73E8" w:rsidRDefault="00BF73E8" w:rsidP="00BF73E8">
      <w:pPr>
        <w:autoSpaceDE w:val="0"/>
        <w:autoSpaceDN w:val="0"/>
        <w:adjustRightInd w:val="0"/>
        <w:rPr>
          <w:b/>
          <w:sz w:val="20"/>
        </w:rPr>
      </w:pPr>
    </w:p>
    <w:sectPr w:rsidR="00BF73E8" w:rsidRPr="00BF73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imesNewRomanPSMT">
    <w:altName w:val="MS Gothic"/>
    <w:charset w:val="80"/>
    <w:family w:val="roman"/>
    <w:pitch w:val="default"/>
    <w:sig w:usb0="00002A87" w:usb1="08070000" w:usb2="00000010" w:usb3="00000000" w:csb0="0002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5E27AD"/>
    <w:multiLevelType w:val="hybridMultilevel"/>
    <w:tmpl w:val="A69C460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656"/>
    <w:rsid w:val="001472A1"/>
    <w:rsid w:val="009D0A7C"/>
    <w:rsid w:val="009D2656"/>
    <w:rsid w:val="00BF73E8"/>
    <w:rsid w:val="00D9162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656"/>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73E8"/>
    <w:pPr>
      <w:ind w:left="720"/>
      <w:contextualSpacing/>
    </w:pPr>
  </w:style>
  <w:style w:type="paragraph" w:styleId="NormalWeb">
    <w:name w:val="Normal (Web)"/>
    <w:basedOn w:val="Normal"/>
    <w:uiPriority w:val="99"/>
    <w:unhideWhenUsed/>
    <w:rsid w:val="00BF73E8"/>
    <w:pPr>
      <w:spacing w:before="100" w:beforeAutospacing="1" w:after="100" w:afterAutospacing="1"/>
    </w:pPr>
    <w:rPr>
      <w:rFonts w:eastAsia="Times New Roman"/>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656"/>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73E8"/>
    <w:pPr>
      <w:ind w:left="720"/>
      <w:contextualSpacing/>
    </w:pPr>
  </w:style>
  <w:style w:type="paragraph" w:styleId="NormalWeb">
    <w:name w:val="Normal (Web)"/>
    <w:basedOn w:val="Normal"/>
    <w:uiPriority w:val="99"/>
    <w:unhideWhenUsed/>
    <w:rsid w:val="00BF73E8"/>
    <w:pPr>
      <w:spacing w:before="100" w:beforeAutospacing="1" w:after="100" w:afterAutospacing="1"/>
    </w:pPr>
    <w:rPr>
      <w:rFonts w:eastAsia="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2022-11-08T04:38:00Z</dcterms:created>
  <dcterms:modified xsi:type="dcterms:W3CDTF">2022-11-08T04:38:00Z</dcterms:modified>
</cp:coreProperties>
</file>