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Title"/>
      </w:pPr>
      <w:r>
        <w:rPr/>
        <w:t>13</w:t>
      </w:r>
      <w:r>
        <w:rPr>
          <w:vertAlign w:val="superscript"/>
        </w:rPr>
        <w:t>th</w:t>
      </w:r>
      <w:r>
        <w:rPr>
          <w:vertAlign w:val="baseline"/>
        </w:rPr>
        <w:t> International Conference on Liver Diseases &amp; Heapatology November 14-15, 2022 Amsterdam, Netherlands</w:t>
      </w:r>
    </w:p>
    <w:p>
      <w:pPr>
        <w:pStyle w:val="BodyText"/>
        <w:spacing w:before="1"/>
        <w:rPr>
          <w:i w:val="0"/>
          <w:sz w:val="32"/>
        </w:rPr>
      </w:pPr>
    </w:p>
    <w:p>
      <w:pPr>
        <w:spacing w:before="0"/>
        <w:ind w:left="100" w:right="0" w:firstLine="0"/>
        <w:jc w:val="left"/>
        <w:rPr>
          <w:b/>
          <w:sz w:val="28"/>
        </w:rPr>
      </w:pPr>
      <w:r>
        <w:rPr>
          <w:b/>
          <w:sz w:val="28"/>
        </w:rPr>
        <w:t>Journal of Clinical Gastroenterology &amp; Hepatology ISSN : 2575-7733</w:t>
      </w:r>
    </w:p>
    <w:p>
      <w:pPr>
        <w:pStyle w:val="BodyText"/>
        <w:rPr>
          <w:i w:val="0"/>
        </w:rPr>
      </w:pPr>
    </w:p>
    <w:p>
      <w:pPr>
        <w:pStyle w:val="BodyText"/>
        <w:spacing w:before="2"/>
        <w:rPr>
          <w:i w:val="0"/>
          <w:sz w:val="24"/>
        </w:rPr>
      </w:pPr>
      <w:r>
        <w:rPr/>
        <w:drawing>
          <wp:anchor distT="0" distB="0" distL="0" distR="0" allowOverlap="1" layoutInCell="1" locked="0" behindDoc="0" simplePos="0" relativeHeight="0">
            <wp:simplePos x="0" y="0"/>
            <wp:positionH relativeFrom="page">
              <wp:posOffset>914400</wp:posOffset>
            </wp:positionH>
            <wp:positionV relativeFrom="paragraph">
              <wp:posOffset>201384</wp:posOffset>
            </wp:positionV>
            <wp:extent cx="3533245" cy="3022092"/>
            <wp:effectExtent l="0" t="0" r="0" b="0"/>
            <wp:wrapTopAndBottom/>
            <wp:docPr id="1" name="image1.jpeg" descr="C:\Users\Punjabi\Downloads\WhatsApp Image 2022-11-02 at 11.52.37 AM.jpeg"/>
            <wp:cNvGraphicFramePr>
              <a:graphicFrameLocks noChangeAspect="1"/>
            </wp:cNvGraphicFramePr>
            <a:graphic>
              <a:graphicData uri="http://schemas.openxmlformats.org/drawingml/2006/picture">
                <pic:pic>
                  <pic:nvPicPr>
                    <pic:cNvPr id="2" name="image1.jpeg"/>
                    <pic:cNvPicPr/>
                  </pic:nvPicPr>
                  <pic:blipFill>
                    <a:blip r:embed="rId5" cstate="print"/>
                    <a:stretch>
                      <a:fillRect/>
                    </a:stretch>
                  </pic:blipFill>
                  <pic:spPr>
                    <a:xfrm>
                      <a:off x="0" y="0"/>
                      <a:ext cx="3533245" cy="3022092"/>
                    </a:xfrm>
                    <a:prstGeom prst="rect">
                      <a:avLst/>
                    </a:prstGeom>
                  </pic:spPr>
                </pic:pic>
              </a:graphicData>
            </a:graphic>
          </wp:anchor>
        </w:drawing>
      </w:r>
    </w:p>
    <w:p>
      <w:pPr>
        <w:spacing w:before="223"/>
        <w:ind w:left="100" w:right="0" w:firstLine="0"/>
        <w:jc w:val="left"/>
        <w:rPr>
          <w:sz w:val="20"/>
        </w:rPr>
      </w:pPr>
      <w:r>
        <w:rPr>
          <w:sz w:val="20"/>
        </w:rPr>
        <w:t>Presenting Author Details :</w:t>
      </w:r>
    </w:p>
    <w:p>
      <w:pPr>
        <w:spacing w:before="2"/>
        <w:ind w:left="100" w:right="2634" w:firstLine="0"/>
        <w:jc w:val="left"/>
        <w:rPr>
          <w:sz w:val="20"/>
        </w:rPr>
      </w:pPr>
      <w:r>
        <w:rPr>
          <w:sz w:val="20"/>
        </w:rPr>
        <w:t>Full Name as per the passport: Balwant Singh Gill, MD,</w:t>
      </w:r>
      <w:r>
        <w:rPr>
          <w:spacing w:val="-24"/>
          <w:sz w:val="20"/>
        </w:rPr>
        <w:t> </w:t>
      </w:r>
      <w:r>
        <w:rPr>
          <w:sz w:val="20"/>
        </w:rPr>
        <w:t>DNB(Gastroenterology) Date of birth as per the passport:</w:t>
      </w:r>
      <w:r>
        <w:rPr>
          <w:spacing w:val="-1"/>
          <w:sz w:val="20"/>
        </w:rPr>
        <w:t> </w:t>
      </w:r>
      <w:r>
        <w:rPr>
          <w:sz w:val="20"/>
        </w:rPr>
        <w:t>09/11/1986</w:t>
      </w:r>
    </w:p>
    <w:p>
      <w:pPr>
        <w:spacing w:before="0"/>
        <w:ind w:left="100" w:right="198" w:firstLine="0"/>
        <w:jc w:val="left"/>
        <w:rPr>
          <w:sz w:val="20"/>
        </w:rPr>
      </w:pPr>
      <w:r>
        <w:rPr>
          <w:sz w:val="20"/>
        </w:rPr>
        <w:t>Designation/Affiliation: Dr.(Consultant : Gastroenterologist, Hepatologist &amp; Interventional Endoscopist)</w:t>
      </w:r>
      <w:r>
        <w:rPr>
          <w:spacing w:val="-26"/>
          <w:sz w:val="20"/>
        </w:rPr>
        <w:t> </w:t>
      </w:r>
      <w:r>
        <w:rPr>
          <w:sz w:val="20"/>
        </w:rPr>
        <w:t>/ SGRD HOSPITAL, Bathinda, Punjab,</w:t>
      </w:r>
      <w:r>
        <w:rPr>
          <w:spacing w:val="11"/>
          <w:sz w:val="20"/>
        </w:rPr>
        <w:t> </w:t>
      </w:r>
      <w:r>
        <w:rPr>
          <w:sz w:val="20"/>
        </w:rPr>
        <w:t>India.</w:t>
      </w:r>
    </w:p>
    <w:p>
      <w:pPr>
        <w:spacing w:before="0"/>
        <w:ind w:left="100" w:right="6419" w:firstLine="0"/>
        <w:jc w:val="left"/>
        <w:rPr>
          <w:sz w:val="20"/>
        </w:rPr>
      </w:pPr>
      <w:r>
        <w:rPr>
          <w:sz w:val="20"/>
        </w:rPr>
        <w:t>Email: </w:t>
      </w:r>
      <w:hyperlink r:id="rId6">
        <w:r>
          <w:rPr>
            <w:sz w:val="20"/>
          </w:rPr>
          <w:t>dr.bsgill1@gmail.com</w:t>
        </w:r>
      </w:hyperlink>
      <w:r>
        <w:rPr>
          <w:sz w:val="20"/>
        </w:rPr>
        <w:t> Phone Number: +91-9417562956</w:t>
      </w:r>
    </w:p>
    <w:p>
      <w:pPr>
        <w:pStyle w:val="BodyText"/>
        <w:spacing w:before="2"/>
        <w:rPr>
          <w:b w:val="0"/>
          <w:i w:val="0"/>
        </w:rPr>
      </w:pPr>
    </w:p>
    <w:p>
      <w:pPr>
        <w:pStyle w:val="BodyText"/>
        <w:spacing w:line="229" w:lineRule="exact"/>
        <w:ind w:left="100"/>
        <w:rPr>
          <w:i/>
        </w:rPr>
      </w:pPr>
      <w:r>
        <w:rPr>
          <w:i/>
        </w:rPr>
        <w:t>Dr.Balwant Singh Gill</w:t>
      </w:r>
    </w:p>
    <w:p>
      <w:pPr>
        <w:spacing w:line="229" w:lineRule="exact" w:before="0"/>
        <w:ind w:left="100" w:right="0" w:firstLine="0"/>
        <w:jc w:val="left"/>
        <w:rPr>
          <w:b/>
          <w:sz w:val="20"/>
        </w:rPr>
      </w:pPr>
      <w:r>
        <w:rPr>
          <w:b/>
          <w:sz w:val="20"/>
        </w:rPr>
        <w:t>Institute of Liver, Gastroenterology &amp; Pancreatico Biliary Sciences, SGRDH, Bathinda, Punjab, India</w:t>
      </w:r>
    </w:p>
    <w:p>
      <w:pPr>
        <w:pStyle w:val="BodyText"/>
        <w:spacing w:line="690" w:lineRule="atLeast" w:before="3"/>
        <w:ind w:left="100" w:right="1004"/>
      </w:pPr>
      <w:r>
        <w:rPr>
          <w:i/>
        </w:rPr>
        <w:t>Presentation title : Pathophysiology and management of “Esophageal Varices” in current practice </w:t>
      </w:r>
      <w:r>
        <w:rPr/>
        <w:t>Abstract(300 words limit)</w:t>
      </w:r>
    </w:p>
    <w:p>
      <w:pPr>
        <w:pStyle w:val="BodyText"/>
        <w:ind w:left="100"/>
        <w:rPr>
          <w:i/>
        </w:rPr>
      </w:pPr>
      <w:r>
        <w:rPr>
          <w:i/>
        </w:rPr>
        <w:t>Pathophysiology and management of “Esophageal Varices” in current practice</w:t>
      </w:r>
    </w:p>
    <w:p>
      <w:pPr>
        <w:pStyle w:val="BodyText"/>
        <w:spacing w:before="2"/>
        <w:ind w:left="100" w:right="198"/>
      </w:pPr>
      <w:r>
        <w:rPr>
          <w:i/>
        </w:rPr>
        <w:t>Esophageal Varices : Esophageal varices are dilated submucosal distal esophageal veins connecting the </w:t>
      </w:r>
      <w:r>
        <w:rPr/>
        <w:t>portal and systemic circulations. This happens due to portal hypertension (most commonly a result of cirrhosis), resistance to portal blood flow, and increased portal venous blood inflow. The most common fatal complication of cirrhosis is variceal rupture; the severity of liver disease correlates with the presence of varices and risk of bleeding.</w:t>
      </w:r>
    </w:p>
    <w:p>
      <w:pPr>
        <w:pStyle w:val="ListParagraph"/>
        <w:numPr>
          <w:ilvl w:val="0"/>
          <w:numId w:val="1"/>
        </w:numPr>
        <w:tabs>
          <w:tab w:pos="253" w:val="left" w:leader="none"/>
        </w:tabs>
        <w:spacing w:line="240" w:lineRule="auto" w:before="0" w:after="0"/>
        <w:ind w:left="100" w:right="279" w:firstLine="0"/>
        <w:jc w:val="left"/>
        <w:rPr>
          <w:b/>
          <w:i/>
          <w:sz w:val="20"/>
        </w:rPr>
      </w:pPr>
      <w:r>
        <w:rPr>
          <w:b/>
          <w:i/>
          <w:sz w:val="20"/>
        </w:rPr>
        <w:t>Bleeding esophageal varices : No single treatment for bleeding esophageal varices is appropriate for all </w:t>
      </w:r>
      <w:r>
        <w:rPr>
          <w:b/>
          <w:i/>
          <w:sz w:val="20"/>
        </w:rPr>
        <w:t>patients and situations. An algorithm for management of the patient with acute bleeding is presented in</w:t>
      </w:r>
      <w:r>
        <w:rPr>
          <w:b/>
          <w:i/>
          <w:spacing w:val="-26"/>
          <w:sz w:val="20"/>
        </w:rPr>
        <w:t> </w:t>
      </w:r>
      <w:r>
        <w:rPr>
          <w:b/>
          <w:i/>
          <w:sz w:val="20"/>
        </w:rPr>
        <w:t>this article. The options for long-term, definitive therapy and the criteria for selection of each are</w:t>
      </w:r>
      <w:r>
        <w:rPr>
          <w:b/>
          <w:i/>
          <w:spacing w:val="-15"/>
          <w:sz w:val="20"/>
        </w:rPr>
        <w:t> </w:t>
      </w:r>
      <w:r>
        <w:rPr>
          <w:b/>
          <w:i/>
          <w:sz w:val="20"/>
        </w:rPr>
        <w:t>discussed.</w:t>
      </w:r>
    </w:p>
    <w:p>
      <w:pPr>
        <w:pStyle w:val="ListParagraph"/>
        <w:numPr>
          <w:ilvl w:val="0"/>
          <w:numId w:val="1"/>
        </w:numPr>
        <w:tabs>
          <w:tab w:pos="253" w:val="left" w:leader="none"/>
        </w:tabs>
        <w:spacing w:line="240" w:lineRule="auto" w:before="1" w:after="0"/>
        <w:ind w:left="100" w:right="168" w:firstLine="0"/>
        <w:jc w:val="left"/>
        <w:rPr>
          <w:b/>
          <w:i/>
          <w:sz w:val="20"/>
        </w:rPr>
      </w:pPr>
      <w:r>
        <w:rPr>
          <w:b/>
          <w:i/>
          <w:sz w:val="20"/>
        </w:rPr>
        <w:t>Pathophysiology and management of esophageal varices : Esophageal varices are one of the most</w:t>
      </w:r>
      <w:r>
        <w:rPr>
          <w:b/>
          <w:i/>
          <w:spacing w:val="-18"/>
          <w:sz w:val="20"/>
        </w:rPr>
        <w:t> </w:t>
      </w:r>
      <w:r>
        <w:rPr>
          <w:b/>
          <w:i/>
          <w:sz w:val="20"/>
        </w:rPr>
        <w:t>common </w:t>
      </w:r>
      <w:r>
        <w:rPr>
          <w:b/>
          <w:i/>
          <w:sz w:val="20"/>
        </w:rPr>
        <w:t>and severe complications of chronic liver disease. New aspects in epidemiology, pathogenesis, and treatment of varices are reviewed. Sclerotherapy is the first-line treatment for acute hemorrhage. Prevention of first or recurrent bleeding is still unsatisfactory. β-Blockers are slightly superior to sclerotherapy with regard to prophylaxis of first bleeding. β-Blockers or sclerotherapy may be used for prophylaxis of recurrent</w:t>
      </w:r>
      <w:r>
        <w:rPr>
          <w:b/>
          <w:i/>
          <w:spacing w:val="-19"/>
          <w:sz w:val="20"/>
        </w:rPr>
        <w:t> </w:t>
      </w:r>
      <w:r>
        <w:rPr>
          <w:b/>
          <w:i/>
          <w:sz w:val="20"/>
        </w:rPr>
        <w:t>bleeding.</w:t>
      </w:r>
    </w:p>
    <w:p>
      <w:pPr>
        <w:spacing w:after="0" w:line="240" w:lineRule="auto"/>
        <w:jc w:val="left"/>
        <w:rPr>
          <w:sz w:val="20"/>
        </w:rPr>
        <w:sectPr>
          <w:type w:val="continuous"/>
          <w:pgSz w:w="11910" w:h="16840"/>
          <w:pgMar w:top="1300" w:bottom="280" w:left="1340" w:right="1340"/>
        </w:sectPr>
      </w:pPr>
    </w:p>
    <w:p>
      <w:pPr>
        <w:pStyle w:val="BodyText"/>
        <w:spacing w:before="65"/>
        <w:ind w:left="100"/>
      </w:pPr>
      <w:r>
        <w:rPr>
          <w:i/>
        </w:rPr>
        <w:t>However, prophylactic treatment regimens do not have a major impact on survival. Combination treatment, </w:t>
      </w:r>
      <w:r>
        <w:rPr/>
        <w:t>new drugs, or new devices may help to improve the efficacy of prophylactic measures.</w:t>
      </w:r>
    </w:p>
    <w:p>
      <w:pPr>
        <w:pStyle w:val="ListParagraph"/>
        <w:numPr>
          <w:ilvl w:val="0"/>
          <w:numId w:val="1"/>
        </w:numPr>
        <w:tabs>
          <w:tab w:pos="253" w:val="left" w:leader="none"/>
        </w:tabs>
        <w:spacing w:line="240" w:lineRule="auto" w:before="0" w:after="0"/>
        <w:ind w:left="100" w:right="180" w:firstLine="0"/>
        <w:jc w:val="left"/>
        <w:rPr>
          <w:b/>
          <w:i/>
          <w:sz w:val="20"/>
        </w:rPr>
      </w:pPr>
      <w:r>
        <w:rPr>
          <w:b/>
          <w:i/>
          <w:sz w:val="20"/>
        </w:rPr>
        <w:t>Endoscopic Therapy for Esophageal Varices : Among therapeutic endoscopic options for esophageal </w:t>
      </w:r>
      <w:r>
        <w:rPr>
          <w:b/>
          <w:i/>
          <w:sz w:val="20"/>
        </w:rPr>
        <w:t>varices (EV), endoscopic variceal ligation (EVL) has proven more effectiveness and safety compared with endoscopic sclerotherapy and is currently considered as the first choice. In acute EV bleeding, vasoactive therapy (either with terlipressin or somatostatin) prior to endoscopy improves outcomes; moreover,</w:t>
      </w:r>
      <w:r>
        <w:rPr>
          <w:b/>
          <w:i/>
          <w:spacing w:val="-21"/>
          <w:sz w:val="20"/>
        </w:rPr>
        <w:t> </w:t>
      </w:r>
      <w:r>
        <w:rPr>
          <w:b/>
          <w:i/>
          <w:sz w:val="20"/>
        </w:rPr>
        <w:t>antibiotic prophylaxis has to be generally adopted. Variceal glue injection (cyanoacrylates) seems to be effective in the treatment of esophageal as well as in gastric varices. Prevention of rebleeding can be provided both by </w:t>
      </w:r>
      <w:r>
        <w:rPr>
          <w:b/>
          <w:i/>
          <w:spacing w:val="-3"/>
          <w:sz w:val="20"/>
        </w:rPr>
        <w:t>EVL </w:t>
      </w:r>
      <w:r>
        <w:rPr>
          <w:b/>
          <w:i/>
          <w:sz w:val="20"/>
        </w:rPr>
        <w:t>alone or combined with non-selective β-blockers. Moreover, EVL can be adopted for primary prophylaxis, with no differences in mortality compared with drugs, in subjects with large varices and unfit for a β-blocker regimen.</w:t>
      </w:r>
    </w:p>
    <w:p>
      <w:pPr>
        <w:pStyle w:val="ListParagraph"/>
        <w:numPr>
          <w:ilvl w:val="0"/>
          <w:numId w:val="1"/>
        </w:numPr>
        <w:tabs>
          <w:tab w:pos="253" w:val="left" w:leader="none"/>
        </w:tabs>
        <w:spacing w:line="232" w:lineRule="auto" w:before="0" w:after="0"/>
        <w:ind w:left="100" w:right="113" w:firstLine="0"/>
        <w:jc w:val="left"/>
        <w:rPr>
          <w:b/>
          <w:i/>
          <w:sz w:val="20"/>
        </w:rPr>
      </w:pPr>
      <w:r>
        <w:rPr>
          <w:b/>
          <w:i/>
          <w:sz w:val="20"/>
        </w:rPr>
        <w:t>A meta</w:t>
      </w:r>
      <w:r>
        <w:rPr>
          <w:rFonts w:ascii="Trebuchet MS" w:hAnsi="Trebuchet MS"/>
          <w:b/>
          <w:i/>
          <w:sz w:val="21"/>
        </w:rPr>
        <w:t>‐</w:t>
      </w:r>
      <w:r>
        <w:rPr>
          <w:b/>
          <w:i/>
          <w:sz w:val="20"/>
        </w:rPr>
        <w:t>analysis of endoscopic variceal ligation for primary prophylaxis of esophageal variceal bleeding : </w:t>
      </w:r>
      <w:r>
        <w:rPr>
          <w:b/>
          <w:i/>
          <w:sz w:val="20"/>
        </w:rPr>
        <w:t>Despite publication of several randomized trials of prophylactic variceal ligation, the effect on bleeding</w:t>
      </w:r>
      <w:r>
        <w:rPr>
          <w:rFonts w:ascii="Trebuchet MS" w:hAnsi="Trebuchet MS"/>
          <w:b/>
          <w:i/>
          <w:sz w:val="21"/>
        </w:rPr>
        <w:t>‐ </w:t>
      </w:r>
      <w:r>
        <w:rPr>
          <w:b/>
          <w:i/>
          <w:sz w:val="20"/>
        </w:rPr>
        <w:t>related outcomes is unclear. We performed a meta</w:t>
      </w:r>
      <w:r>
        <w:rPr>
          <w:rFonts w:ascii="Trebuchet MS" w:hAnsi="Trebuchet MS"/>
          <w:b/>
          <w:i/>
          <w:sz w:val="21"/>
        </w:rPr>
        <w:t>‐</w:t>
      </w:r>
      <w:r>
        <w:rPr>
          <w:b/>
          <w:i/>
          <w:sz w:val="20"/>
        </w:rPr>
        <w:t>analysis of the trials, as identified by electronic database </w:t>
      </w:r>
      <w:r>
        <w:rPr>
          <w:b/>
          <w:i/>
          <w:sz w:val="20"/>
        </w:rPr>
        <w:t>searching and cross</w:t>
      </w:r>
      <w:r>
        <w:rPr>
          <w:rFonts w:ascii="Trebuchet MS" w:hAnsi="Trebuchet MS"/>
          <w:b/>
          <w:i/>
          <w:sz w:val="21"/>
        </w:rPr>
        <w:t>‐</w:t>
      </w:r>
      <w:r>
        <w:rPr>
          <w:b/>
          <w:i/>
          <w:sz w:val="20"/>
        </w:rPr>
        <w:t>referencing. Both investigators independently applied inclusion and exclusion criteria, </w:t>
      </w:r>
      <w:r>
        <w:rPr>
          <w:b/>
          <w:i/>
          <w:sz w:val="20"/>
        </w:rPr>
        <w:t>and abstracted data from each trial. Standard meta</w:t>
      </w:r>
      <w:r>
        <w:rPr>
          <w:rFonts w:ascii="Trebuchet MS" w:hAnsi="Trebuchet MS"/>
          <w:b/>
          <w:i/>
          <w:sz w:val="21"/>
        </w:rPr>
        <w:t>‐</w:t>
      </w:r>
      <w:r>
        <w:rPr>
          <w:b/>
          <w:i/>
          <w:sz w:val="20"/>
        </w:rPr>
        <w:t>analytic techniques were used to compute relative risks </w:t>
      </w:r>
      <w:r>
        <w:rPr>
          <w:b/>
          <w:i/>
          <w:sz w:val="20"/>
        </w:rPr>
        <w:t>and the number needed to treat (NNT) for first variceal bleed, bleed</w:t>
      </w:r>
      <w:r>
        <w:rPr>
          <w:rFonts w:ascii="Trebuchet MS" w:hAnsi="Trebuchet MS"/>
          <w:b/>
          <w:i/>
          <w:sz w:val="21"/>
        </w:rPr>
        <w:t>‐</w:t>
      </w:r>
      <w:r>
        <w:rPr>
          <w:b/>
          <w:i/>
          <w:sz w:val="20"/>
        </w:rPr>
        <w:t>related mortality, and all</w:t>
      </w:r>
      <w:r>
        <w:rPr>
          <w:rFonts w:ascii="Trebuchet MS" w:hAnsi="Trebuchet MS"/>
          <w:b/>
          <w:i/>
          <w:sz w:val="21"/>
        </w:rPr>
        <w:t>‐</w:t>
      </w:r>
      <w:r>
        <w:rPr>
          <w:b/>
          <w:i/>
          <w:sz w:val="20"/>
        </w:rPr>
        <w:t>cause </w:t>
      </w:r>
      <w:r>
        <w:rPr>
          <w:b/>
          <w:i/>
          <w:sz w:val="20"/>
        </w:rPr>
        <w:t>mortality. Among 601 patients in 5 homogeneous trials comparing prophylactic ligation with untreated controls, relative risks of first variceal bleed, bleed</w:t>
      </w:r>
      <w:r>
        <w:rPr>
          <w:rFonts w:ascii="Trebuchet MS" w:hAnsi="Trebuchet MS"/>
          <w:b/>
          <w:i/>
          <w:sz w:val="21"/>
        </w:rPr>
        <w:t>‐</w:t>
      </w:r>
      <w:r>
        <w:rPr>
          <w:b/>
          <w:i/>
          <w:sz w:val="20"/>
        </w:rPr>
        <w:t>related mortality, and all</w:t>
      </w:r>
      <w:r>
        <w:rPr>
          <w:rFonts w:ascii="Trebuchet MS" w:hAnsi="Trebuchet MS"/>
          <w:b/>
          <w:i/>
          <w:sz w:val="21"/>
        </w:rPr>
        <w:t>‐</w:t>
      </w:r>
      <w:r>
        <w:rPr>
          <w:b/>
          <w:i/>
          <w:sz w:val="20"/>
        </w:rPr>
        <w:t>cause mortality were 0.36 (0.26</w:t>
      </w:r>
      <w:r>
        <w:rPr>
          <w:rFonts w:ascii="Trebuchet MS" w:hAnsi="Trebuchet MS"/>
          <w:b/>
          <w:i/>
          <w:sz w:val="21"/>
        </w:rPr>
        <w:t>‐ </w:t>
      </w:r>
      <w:r>
        <w:rPr>
          <w:b/>
          <w:i/>
          <w:sz w:val="20"/>
        </w:rPr>
        <w:t>0.50), 0.20 (0.11</w:t>
      </w:r>
      <w:r>
        <w:rPr>
          <w:rFonts w:ascii="Trebuchet MS" w:hAnsi="Trebuchet MS"/>
          <w:b/>
          <w:i/>
          <w:sz w:val="21"/>
        </w:rPr>
        <w:t>‐</w:t>
      </w:r>
      <w:r>
        <w:rPr>
          <w:b/>
          <w:i/>
          <w:sz w:val="20"/>
        </w:rPr>
        <w:t>0.39), and 0.55 (0.43</w:t>
      </w:r>
      <w:r>
        <w:rPr>
          <w:rFonts w:ascii="Trebuchet MS" w:hAnsi="Trebuchet MS"/>
          <w:b/>
          <w:i/>
          <w:sz w:val="21"/>
        </w:rPr>
        <w:t>‐</w:t>
      </w:r>
      <w:r>
        <w:rPr>
          <w:b/>
          <w:i/>
          <w:sz w:val="20"/>
        </w:rPr>
        <w:t>0.71), with respective NNTs of 4.1, 6.7, and 5.3. Among 283 subjects </w:t>
      </w:r>
      <w:r>
        <w:rPr>
          <w:b/>
          <w:i/>
          <w:sz w:val="20"/>
        </w:rPr>
        <w:t>from</w:t>
      </w:r>
      <w:r>
        <w:rPr>
          <w:b/>
          <w:i/>
          <w:spacing w:val="-2"/>
          <w:sz w:val="20"/>
        </w:rPr>
        <w:t> </w:t>
      </w:r>
      <w:r>
        <w:rPr>
          <w:b/>
          <w:i/>
          <w:sz w:val="20"/>
        </w:rPr>
        <w:t>4</w:t>
      </w:r>
      <w:r>
        <w:rPr>
          <w:b/>
          <w:i/>
          <w:spacing w:val="-2"/>
          <w:sz w:val="20"/>
        </w:rPr>
        <w:t> </w:t>
      </w:r>
      <w:r>
        <w:rPr>
          <w:b/>
          <w:i/>
          <w:sz w:val="20"/>
        </w:rPr>
        <w:t>trials</w:t>
      </w:r>
      <w:r>
        <w:rPr>
          <w:b/>
          <w:i/>
          <w:spacing w:val="-3"/>
          <w:sz w:val="20"/>
        </w:rPr>
        <w:t> </w:t>
      </w:r>
      <w:r>
        <w:rPr>
          <w:b/>
          <w:i/>
          <w:sz w:val="20"/>
        </w:rPr>
        <w:t>comparing</w:t>
      </w:r>
      <w:r>
        <w:rPr>
          <w:b/>
          <w:i/>
          <w:spacing w:val="-3"/>
          <w:sz w:val="20"/>
        </w:rPr>
        <w:t> </w:t>
      </w:r>
      <w:r>
        <w:rPr>
          <w:b/>
          <w:i/>
          <w:sz w:val="20"/>
        </w:rPr>
        <w:t>ligation</w:t>
      </w:r>
      <w:r>
        <w:rPr>
          <w:b/>
          <w:i/>
          <w:spacing w:val="-1"/>
          <w:sz w:val="20"/>
        </w:rPr>
        <w:t> </w:t>
      </w:r>
      <w:r>
        <w:rPr>
          <w:b/>
          <w:i/>
          <w:sz w:val="20"/>
        </w:rPr>
        <w:t>with</w:t>
      </w:r>
      <w:r>
        <w:rPr>
          <w:b/>
          <w:i/>
          <w:spacing w:val="-2"/>
          <w:sz w:val="20"/>
        </w:rPr>
        <w:t> </w:t>
      </w:r>
      <w:r>
        <w:rPr>
          <w:b/>
          <w:i/>
          <w:sz w:val="20"/>
        </w:rPr>
        <w:t>β</w:t>
      </w:r>
      <w:r>
        <w:rPr>
          <w:rFonts w:ascii="Trebuchet MS" w:hAnsi="Trebuchet MS"/>
          <w:b/>
          <w:i/>
          <w:sz w:val="21"/>
        </w:rPr>
        <w:t>‐</w:t>
      </w:r>
      <w:r>
        <w:rPr>
          <w:b/>
          <w:i/>
          <w:sz w:val="20"/>
        </w:rPr>
        <w:t>blocker</w:t>
      </w:r>
      <w:r>
        <w:rPr>
          <w:b/>
          <w:i/>
          <w:spacing w:val="-3"/>
          <w:sz w:val="20"/>
        </w:rPr>
        <w:t> </w:t>
      </w:r>
      <w:r>
        <w:rPr>
          <w:b/>
          <w:i/>
          <w:sz w:val="20"/>
        </w:rPr>
        <w:t>therapy, the</w:t>
      </w:r>
      <w:r>
        <w:rPr>
          <w:b/>
          <w:i/>
          <w:spacing w:val="-3"/>
          <w:sz w:val="20"/>
        </w:rPr>
        <w:t> </w:t>
      </w:r>
      <w:r>
        <w:rPr>
          <w:b/>
          <w:i/>
          <w:sz w:val="20"/>
        </w:rPr>
        <w:t>relative</w:t>
      </w:r>
      <w:r>
        <w:rPr>
          <w:b/>
          <w:i/>
          <w:spacing w:val="-3"/>
          <w:sz w:val="20"/>
        </w:rPr>
        <w:t> </w:t>
      </w:r>
      <w:r>
        <w:rPr>
          <w:b/>
          <w:i/>
          <w:sz w:val="20"/>
        </w:rPr>
        <w:t>risk</w:t>
      </w:r>
      <w:r>
        <w:rPr>
          <w:b/>
          <w:i/>
          <w:spacing w:val="-2"/>
          <w:sz w:val="20"/>
        </w:rPr>
        <w:t> </w:t>
      </w:r>
      <w:r>
        <w:rPr>
          <w:b/>
          <w:i/>
          <w:sz w:val="20"/>
        </w:rPr>
        <w:t>of</w:t>
      </w:r>
      <w:r>
        <w:rPr>
          <w:b/>
          <w:i/>
          <w:spacing w:val="-4"/>
          <w:sz w:val="20"/>
        </w:rPr>
        <w:t> </w:t>
      </w:r>
      <w:r>
        <w:rPr>
          <w:b/>
          <w:i/>
          <w:sz w:val="20"/>
        </w:rPr>
        <w:t>first</w:t>
      </w:r>
      <w:r>
        <w:rPr>
          <w:b/>
          <w:i/>
          <w:spacing w:val="-2"/>
          <w:sz w:val="20"/>
        </w:rPr>
        <w:t> </w:t>
      </w:r>
      <w:r>
        <w:rPr>
          <w:b/>
          <w:i/>
          <w:sz w:val="20"/>
        </w:rPr>
        <w:t>variceal</w:t>
      </w:r>
      <w:r>
        <w:rPr>
          <w:b/>
          <w:i/>
          <w:spacing w:val="-1"/>
          <w:sz w:val="20"/>
        </w:rPr>
        <w:t> </w:t>
      </w:r>
      <w:r>
        <w:rPr>
          <w:b/>
          <w:i/>
          <w:sz w:val="20"/>
        </w:rPr>
        <w:t>bleed</w:t>
      </w:r>
      <w:r>
        <w:rPr>
          <w:b/>
          <w:i/>
          <w:spacing w:val="-2"/>
          <w:sz w:val="20"/>
        </w:rPr>
        <w:t> </w:t>
      </w:r>
      <w:r>
        <w:rPr>
          <w:b/>
          <w:i/>
          <w:sz w:val="20"/>
        </w:rPr>
        <w:t>was</w:t>
      </w:r>
      <w:r>
        <w:rPr>
          <w:b/>
          <w:i/>
          <w:spacing w:val="-4"/>
          <w:sz w:val="20"/>
        </w:rPr>
        <w:t> </w:t>
      </w:r>
      <w:r>
        <w:rPr>
          <w:b/>
          <w:i/>
          <w:sz w:val="20"/>
        </w:rPr>
        <w:t>0.48</w:t>
      </w:r>
      <w:r>
        <w:rPr>
          <w:b/>
          <w:i/>
          <w:spacing w:val="-5"/>
          <w:sz w:val="20"/>
        </w:rPr>
        <w:t> </w:t>
      </w:r>
      <w:r>
        <w:rPr>
          <w:b/>
          <w:i/>
          <w:sz w:val="20"/>
        </w:rPr>
        <w:t>(0.24</w:t>
      </w:r>
      <w:r>
        <w:rPr>
          <w:rFonts w:ascii="Trebuchet MS" w:hAnsi="Trebuchet MS"/>
          <w:b/>
          <w:i/>
          <w:sz w:val="21"/>
        </w:rPr>
        <w:t>‐ </w:t>
      </w:r>
      <w:r>
        <w:rPr>
          <w:b/>
          <w:i/>
          <w:sz w:val="20"/>
        </w:rPr>
        <w:t>0.96), with NNT of 13; however, there was no effect on either bleed</w:t>
      </w:r>
      <w:r>
        <w:rPr>
          <w:rFonts w:ascii="Trebuchet MS" w:hAnsi="Trebuchet MS"/>
          <w:b/>
          <w:i/>
          <w:sz w:val="21"/>
        </w:rPr>
        <w:t>‐</w:t>
      </w:r>
      <w:r>
        <w:rPr>
          <w:b/>
          <w:i/>
          <w:sz w:val="20"/>
        </w:rPr>
        <w:t>related mortality (relative risk</w:t>
      </w:r>
      <w:r>
        <w:rPr>
          <w:b/>
          <w:i/>
          <w:spacing w:val="-36"/>
          <w:sz w:val="20"/>
        </w:rPr>
        <w:t> </w:t>
      </w:r>
      <w:r>
        <w:rPr>
          <w:b/>
          <w:i/>
          <w:sz w:val="20"/>
        </w:rPr>
        <w:t>[RR], 0.61; </w:t>
      </w:r>
      <w:r>
        <w:rPr>
          <w:b/>
          <w:i/>
          <w:sz w:val="20"/>
        </w:rPr>
        <w:t>confidence interval [CI], 0.20</w:t>
      </w:r>
      <w:r>
        <w:rPr>
          <w:rFonts w:ascii="Trebuchet MS" w:hAnsi="Trebuchet MS"/>
          <w:b/>
          <w:i/>
          <w:sz w:val="21"/>
        </w:rPr>
        <w:t>‐</w:t>
      </w:r>
      <w:r>
        <w:rPr>
          <w:b/>
          <w:i/>
          <w:sz w:val="20"/>
        </w:rPr>
        <w:t>1.88) or all</w:t>
      </w:r>
      <w:r>
        <w:rPr>
          <w:rFonts w:ascii="Trebuchet MS" w:hAnsi="Trebuchet MS"/>
          <w:b/>
          <w:i/>
          <w:sz w:val="21"/>
        </w:rPr>
        <w:t>‐</w:t>
      </w:r>
      <w:r>
        <w:rPr>
          <w:b/>
          <w:i/>
          <w:sz w:val="20"/>
        </w:rPr>
        <w:t>cause mortality (RR, 0.95; CI, 0.56</w:t>
      </w:r>
      <w:r>
        <w:rPr>
          <w:rFonts w:ascii="Trebuchet MS" w:hAnsi="Trebuchet MS"/>
          <w:b/>
          <w:i/>
          <w:sz w:val="21"/>
        </w:rPr>
        <w:t>‐</w:t>
      </w:r>
      <w:r>
        <w:rPr>
          <w:b/>
          <w:i/>
          <w:sz w:val="20"/>
        </w:rPr>
        <w:t>1.62). In conclusion, compared </w:t>
      </w:r>
      <w:r>
        <w:rPr>
          <w:b/>
          <w:i/>
          <w:sz w:val="20"/>
        </w:rPr>
        <w:t>with untreated controls, prophylactic ligation reduces the risks of variceal bleeding and mortality. Compared with β</w:t>
      </w:r>
      <w:r>
        <w:rPr>
          <w:rFonts w:ascii="Trebuchet MS" w:hAnsi="Trebuchet MS"/>
          <w:b/>
          <w:i/>
          <w:sz w:val="21"/>
        </w:rPr>
        <w:t>‐</w:t>
      </w:r>
      <w:r>
        <w:rPr>
          <w:b/>
          <w:i/>
          <w:sz w:val="20"/>
        </w:rPr>
        <w:t>blockers, ligation reduces the risk for first variceal bleed but has no effect on mortality. Prophylactic </w:t>
      </w:r>
      <w:r>
        <w:rPr>
          <w:b/>
          <w:i/>
          <w:sz w:val="20"/>
        </w:rPr>
        <w:t>ligation should be considered for patients with large esophageal varices who cannot tolerate</w:t>
      </w:r>
      <w:r>
        <w:rPr>
          <w:b/>
          <w:i/>
          <w:spacing w:val="-13"/>
          <w:sz w:val="20"/>
        </w:rPr>
        <w:t> </w:t>
      </w:r>
      <w:r>
        <w:rPr>
          <w:b/>
          <w:i/>
          <w:sz w:val="20"/>
        </w:rPr>
        <w:t>β</w:t>
      </w:r>
      <w:r>
        <w:rPr>
          <w:rFonts w:ascii="Trebuchet MS" w:hAnsi="Trebuchet MS"/>
          <w:b/>
          <w:i/>
          <w:sz w:val="21"/>
        </w:rPr>
        <w:t>‐</w:t>
      </w:r>
      <w:r>
        <w:rPr>
          <w:b/>
          <w:i/>
          <w:sz w:val="20"/>
        </w:rPr>
        <w:t>blockers.</w:t>
      </w:r>
    </w:p>
    <w:p>
      <w:pPr>
        <w:pStyle w:val="BodyText"/>
        <w:spacing w:line="232" w:lineRule="auto"/>
        <w:ind w:left="100" w:right="198"/>
        <w:rPr>
          <w:i/>
        </w:rPr>
      </w:pPr>
      <w:r>
        <w:rPr>
          <w:i/>
        </w:rPr>
        <w:t>Subsequent research should further compare ligation and β</w:t>
      </w:r>
      <w:r>
        <w:rPr>
          <w:rFonts w:ascii="Trebuchet MS" w:hAnsi="Trebuchet MS"/>
          <w:i/>
          <w:sz w:val="21"/>
        </w:rPr>
        <w:t>‐</w:t>
      </w:r>
      <w:r>
        <w:rPr>
          <w:i/>
        </w:rPr>
        <w:t>blockers to determine the effect on mortality, </w:t>
      </w:r>
      <w:r>
        <w:rPr/>
        <w:t>and measure ligation's cost</w:t>
      </w:r>
      <w:r>
        <w:rPr>
          <w:rFonts w:ascii="Trebuchet MS" w:hAnsi="Trebuchet MS"/>
          <w:i/>
          <w:sz w:val="21"/>
        </w:rPr>
        <w:t>‐</w:t>
      </w:r>
      <w:r>
        <w:rPr>
          <w:i/>
        </w:rPr>
        <w:t>effectiveness</w:t>
      </w:r>
    </w:p>
    <w:p>
      <w:pPr>
        <w:pStyle w:val="BodyText"/>
        <w:rPr>
          <w:i/>
          <w:sz w:val="24"/>
        </w:rPr>
      </w:pPr>
    </w:p>
    <w:p>
      <w:pPr>
        <w:pStyle w:val="BodyText"/>
        <w:rPr>
          <w:i/>
          <w:sz w:val="24"/>
        </w:rPr>
      </w:pPr>
    </w:p>
    <w:p>
      <w:pPr>
        <w:spacing w:line="229" w:lineRule="exact" w:before="142"/>
        <w:ind w:left="100" w:right="0" w:firstLine="0"/>
        <w:jc w:val="left"/>
        <w:rPr>
          <w:sz w:val="20"/>
        </w:rPr>
      </w:pPr>
      <w:r>
        <w:rPr>
          <w:sz w:val="20"/>
        </w:rPr>
        <w:t>Biography</w:t>
      </w:r>
    </w:p>
    <w:p>
      <w:pPr>
        <w:spacing w:line="240" w:lineRule="auto" w:before="0"/>
        <w:ind w:left="100" w:right="0" w:firstLine="0"/>
        <w:jc w:val="left"/>
        <w:rPr>
          <w:sz w:val="20"/>
        </w:rPr>
      </w:pPr>
      <w:r>
        <w:rPr>
          <w:sz w:val="20"/>
        </w:rPr>
        <w:t>Dr.Balwant Singh Gill has completed his MD from Dr.MGR Medical University in 2011 and DNB from Delhi from NBE in 2014. He is the Director &amp; Head of Institute of Liver, Gastroenterology &amp; Pancreatico Biliary Sciences, SGRD HOSPITAL (India) an advanced Endoscopy Center. He has published more than 5 papers in reputed journals and has been serving as an consultant Gastroenterologist, Hepatologist &amp; Interventional Endoscopist at their center of gastroenterology from July, 2015.</w:t>
      </w:r>
    </w:p>
    <w:p>
      <w:pPr>
        <w:spacing w:before="2"/>
        <w:ind w:left="100" w:right="0" w:firstLine="0"/>
        <w:jc w:val="left"/>
        <w:rPr>
          <w:sz w:val="20"/>
        </w:rPr>
      </w:pPr>
      <w:r>
        <w:rPr>
          <w:sz w:val="20"/>
        </w:rPr>
        <w:t>He has associated with few national and international associations as follows :</w:t>
      </w:r>
    </w:p>
    <w:p>
      <w:pPr>
        <w:pStyle w:val="BodyText"/>
        <w:spacing w:before="1"/>
        <w:rPr>
          <w:b w:val="0"/>
          <w:i w:val="0"/>
        </w:rPr>
      </w:pPr>
    </w:p>
    <w:p>
      <w:pPr>
        <w:pStyle w:val="ListParagraph"/>
        <w:numPr>
          <w:ilvl w:val="1"/>
          <w:numId w:val="1"/>
        </w:numPr>
        <w:tabs>
          <w:tab w:pos="872" w:val="left" w:leader="none"/>
          <w:tab w:pos="873" w:val="left" w:leader="none"/>
        </w:tabs>
        <w:spacing w:line="240" w:lineRule="auto" w:before="0" w:after="0"/>
        <w:ind w:left="872" w:right="0" w:hanging="361"/>
        <w:jc w:val="left"/>
        <w:rPr>
          <w:sz w:val="20"/>
        </w:rPr>
      </w:pPr>
      <w:r>
        <w:rPr>
          <w:sz w:val="20"/>
        </w:rPr>
        <w:t>Member : ACG(American College of</w:t>
      </w:r>
      <w:r>
        <w:rPr>
          <w:spacing w:val="-4"/>
          <w:sz w:val="20"/>
        </w:rPr>
        <w:t> </w:t>
      </w:r>
      <w:r>
        <w:rPr>
          <w:sz w:val="20"/>
        </w:rPr>
        <w:t>Gastroenterology)</w:t>
      </w:r>
    </w:p>
    <w:p>
      <w:pPr>
        <w:pStyle w:val="BodyText"/>
        <w:spacing w:before="9"/>
        <w:rPr>
          <w:b w:val="0"/>
          <w:i w:val="0"/>
          <w:sz w:val="19"/>
        </w:rPr>
      </w:pPr>
    </w:p>
    <w:p>
      <w:pPr>
        <w:pStyle w:val="ListParagraph"/>
        <w:numPr>
          <w:ilvl w:val="1"/>
          <w:numId w:val="1"/>
        </w:numPr>
        <w:tabs>
          <w:tab w:pos="820" w:val="left" w:leader="none"/>
          <w:tab w:pos="821" w:val="left" w:leader="none"/>
        </w:tabs>
        <w:spacing w:line="240" w:lineRule="auto" w:before="0" w:after="0"/>
        <w:ind w:left="820" w:right="0" w:hanging="361"/>
        <w:jc w:val="left"/>
        <w:rPr>
          <w:sz w:val="20"/>
        </w:rPr>
      </w:pPr>
      <w:r>
        <w:rPr>
          <w:sz w:val="20"/>
        </w:rPr>
        <w:t>Member : ASGE(American Society for Gastrointestinal</w:t>
      </w:r>
      <w:r>
        <w:rPr>
          <w:spacing w:val="-10"/>
          <w:sz w:val="20"/>
        </w:rPr>
        <w:t> </w:t>
      </w:r>
      <w:r>
        <w:rPr>
          <w:sz w:val="20"/>
        </w:rPr>
        <w:t>Endoscopy)</w:t>
      </w:r>
    </w:p>
    <w:p>
      <w:pPr>
        <w:pStyle w:val="BodyText"/>
        <w:spacing w:before="1"/>
        <w:rPr>
          <w:b w:val="0"/>
          <w:i w:val="0"/>
        </w:rPr>
      </w:pPr>
    </w:p>
    <w:p>
      <w:pPr>
        <w:pStyle w:val="ListParagraph"/>
        <w:numPr>
          <w:ilvl w:val="1"/>
          <w:numId w:val="1"/>
        </w:numPr>
        <w:tabs>
          <w:tab w:pos="820" w:val="left" w:leader="none"/>
          <w:tab w:pos="821" w:val="left" w:leader="none"/>
        </w:tabs>
        <w:spacing w:line="240" w:lineRule="auto" w:before="0" w:after="0"/>
        <w:ind w:left="820" w:right="0" w:hanging="361"/>
        <w:jc w:val="left"/>
        <w:rPr>
          <w:sz w:val="20"/>
        </w:rPr>
      </w:pPr>
      <w:r>
        <w:rPr>
          <w:sz w:val="20"/>
        </w:rPr>
        <w:t>Member : CAG(Canadian Association of</w:t>
      </w:r>
      <w:r>
        <w:rPr>
          <w:spacing w:val="-9"/>
          <w:sz w:val="20"/>
        </w:rPr>
        <w:t> </w:t>
      </w:r>
      <w:r>
        <w:rPr>
          <w:sz w:val="20"/>
        </w:rPr>
        <w:t>Gastroenterology)</w:t>
      </w:r>
    </w:p>
    <w:p>
      <w:pPr>
        <w:pStyle w:val="BodyText"/>
        <w:spacing w:before="1"/>
        <w:rPr>
          <w:b w:val="0"/>
          <w:i w:val="0"/>
        </w:rPr>
      </w:pPr>
    </w:p>
    <w:p>
      <w:pPr>
        <w:pStyle w:val="ListParagraph"/>
        <w:numPr>
          <w:ilvl w:val="1"/>
          <w:numId w:val="1"/>
        </w:numPr>
        <w:tabs>
          <w:tab w:pos="820" w:val="left" w:leader="none"/>
          <w:tab w:pos="821" w:val="left" w:leader="none"/>
        </w:tabs>
        <w:spacing w:line="240" w:lineRule="auto" w:before="0" w:after="0"/>
        <w:ind w:left="820" w:right="0" w:hanging="361"/>
        <w:jc w:val="left"/>
        <w:rPr>
          <w:sz w:val="20"/>
        </w:rPr>
      </w:pPr>
      <w:r>
        <w:rPr>
          <w:sz w:val="20"/>
        </w:rPr>
        <w:t>Member : AASLD(American Association for the Study of Liver</w:t>
      </w:r>
      <w:r>
        <w:rPr>
          <w:spacing w:val="-14"/>
          <w:sz w:val="20"/>
        </w:rPr>
        <w:t> </w:t>
      </w:r>
      <w:r>
        <w:rPr>
          <w:sz w:val="20"/>
        </w:rPr>
        <w:t>Diseases)</w:t>
      </w:r>
    </w:p>
    <w:p>
      <w:pPr>
        <w:pStyle w:val="BodyText"/>
        <w:spacing w:before="9"/>
        <w:rPr>
          <w:b w:val="0"/>
          <w:i w:val="0"/>
          <w:sz w:val="19"/>
        </w:rPr>
      </w:pPr>
    </w:p>
    <w:p>
      <w:pPr>
        <w:pStyle w:val="ListParagraph"/>
        <w:numPr>
          <w:ilvl w:val="1"/>
          <w:numId w:val="1"/>
        </w:numPr>
        <w:tabs>
          <w:tab w:pos="820" w:val="left" w:leader="none"/>
          <w:tab w:pos="821" w:val="left" w:leader="none"/>
        </w:tabs>
        <w:spacing w:line="240" w:lineRule="auto" w:before="0" w:after="0"/>
        <w:ind w:left="820" w:right="0" w:hanging="361"/>
        <w:jc w:val="left"/>
        <w:rPr>
          <w:sz w:val="20"/>
        </w:rPr>
      </w:pPr>
      <w:r>
        <w:rPr>
          <w:sz w:val="20"/>
        </w:rPr>
        <w:t>Member : EASL(European Association for the Study of the</w:t>
      </w:r>
      <w:r>
        <w:rPr>
          <w:spacing w:val="-11"/>
          <w:sz w:val="20"/>
        </w:rPr>
        <w:t> </w:t>
      </w:r>
      <w:r>
        <w:rPr>
          <w:sz w:val="20"/>
        </w:rPr>
        <w:t>Liver)</w:t>
      </w:r>
    </w:p>
    <w:p>
      <w:pPr>
        <w:pStyle w:val="BodyText"/>
        <w:spacing w:before="1"/>
        <w:rPr>
          <w:b w:val="0"/>
          <w:i w:val="0"/>
        </w:rPr>
      </w:pPr>
    </w:p>
    <w:p>
      <w:pPr>
        <w:pStyle w:val="ListParagraph"/>
        <w:numPr>
          <w:ilvl w:val="1"/>
          <w:numId w:val="1"/>
        </w:numPr>
        <w:tabs>
          <w:tab w:pos="820" w:val="left" w:leader="none"/>
          <w:tab w:pos="821" w:val="left" w:leader="none"/>
        </w:tabs>
        <w:spacing w:line="240" w:lineRule="auto" w:before="0" w:after="0"/>
        <w:ind w:left="820" w:right="0" w:hanging="361"/>
        <w:jc w:val="left"/>
        <w:rPr>
          <w:sz w:val="20"/>
        </w:rPr>
      </w:pPr>
      <w:r>
        <w:rPr>
          <w:sz w:val="20"/>
        </w:rPr>
        <w:t>Member : APASL(Assain Pacific Association for Study of the</w:t>
      </w:r>
      <w:r>
        <w:rPr>
          <w:spacing w:val="-8"/>
          <w:sz w:val="20"/>
        </w:rPr>
        <w:t> </w:t>
      </w:r>
      <w:r>
        <w:rPr>
          <w:sz w:val="20"/>
        </w:rPr>
        <w:t>Liver)</w:t>
      </w:r>
    </w:p>
    <w:p>
      <w:pPr>
        <w:pStyle w:val="BodyText"/>
        <w:spacing w:before="9"/>
        <w:rPr>
          <w:b w:val="0"/>
          <w:i w:val="0"/>
          <w:sz w:val="19"/>
        </w:rPr>
      </w:pPr>
    </w:p>
    <w:p>
      <w:pPr>
        <w:pStyle w:val="ListParagraph"/>
        <w:numPr>
          <w:ilvl w:val="1"/>
          <w:numId w:val="1"/>
        </w:numPr>
        <w:tabs>
          <w:tab w:pos="820" w:val="left" w:leader="none"/>
          <w:tab w:pos="821" w:val="left" w:leader="none"/>
        </w:tabs>
        <w:spacing w:line="240" w:lineRule="auto" w:before="0" w:after="0"/>
        <w:ind w:left="820" w:right="0" w:hanging="361"/>
        <w:jc w:val="left"/>
        <w:rPr>
          <w:sz w:val="20"/>
        </w:rPr>
      </w:pPr>
      <w:r>
        <w:rPr>
          <w:sz w:val="20"/>
        </w:rPr>
        <w:t>Life Member : INASL(Indian National Association for Study of the</w:t>
      </w:r>
      <w:r>
        <w:rPr>
          <w:spacing w:val="-14"/>
          <w:sz w:val="20"/>
        </w:rPr>
        <w:t> </w:t>
      </w:r>
      <w:r>
        <w:rPr>
          <w:sz w:val="20"/>
        </w:rPr>
        <w:t>Liver)</w:t>
      </w:r>
    </w:p>
    <w:p>
      <w:pPr>
        <w:pStyle w:val="BodyText"/>
        <w:rPr>
          <w:b w:val="0"/>
          <w:i w:val="0"/>
        </w:rPr>
      </w:pPr>
    </w:p>
    <w:p>
      <w:pPr>
        <w:pStyle w:val="ListParagraph"/>
        <w:numPr>
          <w:ilvl w:val="1"/>
          <w:numId w:val="1"/>
        </w:numPr>
        <w:tabs>
          <w:tab w:pos="820" w:val="left" w:leader="none"/>
          <w:tab w:pos="821" w:val="left" w:leader="none"/>
        </w:tabs>
        <w:spacing w:line="240" w:lineRule="auto" w:before="1" w:after="0"/>
        <w:ind w:left="820" w:right="0" w:hanging="361"/>
        <w:jc w:val="left"/>
        <w:rPr>
          <w:sz w:val="20"/>
        </w:rPr>
      </w:pPr>
      <w:r>
        <w:rPr>
          <w:sz w:val="20"/>
        </w:rPr>
        <w:t>Life Member : GISI (Gastrointestinal Infection Society of</w:t>
      </w:r>
      <w:r>
        <w:rPr>
          <w:spacing w:val="-15"/>
          <w:sz w:val="20"/>
        </w:rPr>
        <w:t> </w:t>
      </w:r>
      <w:r>
        <w:rPr>
          <w:sz w:val="20"/>
        </w:rPr>
        <w:t>India)</w:t>
      </w:r>
    </w:p>
    <w:p>
      <w:pPr>
        <w:spacing w:after="0" w:line="240" w:lineRule="auto"/>
        <w:jc w:val="left"/>
        <w:rPr>
          <w:sz w:val="20"/>
        </w:rPr>
        <w:sectPr>
          <w:pgSz w:w="11910" w:h="16840"/>
          <w:pgMar w:top="1360" w:bottom="280" w:left="1340" w:right="1340"/>
        </w:sectPr>
      </w:pPr>
    </w:p>
    <w:p>
      <w:pPr>
        <w:pStyle w:val="BodyText"/>
        <w:ind w:left="100"/>
        <w:rPr>
          <w:b w:val="0"/>
          <w:i w:val="0"/>
        </w:rPr>
      </w:pPr>
      <w:r>
        <w:rPr>
          <w:b w:val="0"/>
          <w:i w:val="0"/>
        </w:rPr>
        <w:drawing>
          <wp:inline distT="0" distB="0" distL="0" distR="0">
            <wp:extent cx="1760499" cy="2446020"/>
            <wp:effectExtent l="0" t="0" r="0" b="0"/>
            <wp:docPr id="3" name="image2.jpeg" descr="C:\Users\Punjabi\Downloads\WhatsApp Image 2022-11-02 at 1.00.41 PM.jpeg"/>
            <wp:cNvGraphicFramePr>
              <a:graphicFrameLocks noChangeAspect="1"/>
            </wp:cNvGraphicFramePr>
            <a:graphic>
              <a:graphicData uri="http://schemas.openxmlformats.org/drawingml/2006/picture">
                <pic:pic>
                  <pic:nvPicPr>
                    <pic:cNvPr id="4" name="image2.jpeg"/>
                    <pic:cNvPicPr/>
                  </pic:nvPicPr>
                  <pic:blipFill>
                    <a:blip r:embed="rId7" cstate="print"/>
                    <a:stretch>
                      <a:fillRect/>
                    </a:stretch>
                  </pic:blipFill>
                  <pic:spPr>
                    <a:xfrm>
                      <a:off x="0" y="0"/>
                      <a:ext cx="1760499" cy="2446020"/>
                    </a:xfrm>
                    <a:prstGeom prst="rect">
                      <a:avLst/>
                    </a:prstGeom>
                  </pic:spPr>
                </pic:pic>
              </a:graphicData>
            </a:graphic>
          </wp:inline>
        </w:drawing>
      </w:r>
      <w:r>
        <w:rPr>
          <w:b w:val="0"/>
          <w:i w:val="0"/>
        </w:rPr>
      </w:r>
    </w:p>
    <w:p>
      <w:pPr>
        <w:pStyle w:val="BodyText"/>
        <w:rPr>
          <w:b w:val="0"/>
          <w:i w:val="0"/>
        </w:rPr>
      </w:pPr>
    </w:p>
    <w:p>
      <w:pPr>
        <w:pStyle w:val="BodyText"/>
        <w:spacing w:before="9"/>
        <w:rPr>
          <w:b w:val="0"/>
          <w:i w:val="0"/>
          <w:sz w:val="17"/>
        </w:rPr>
      </w:pPr>
    </w:p>
    <w:p>
      <w:pPr>
        <w:spacing w:before="92"/>
        <w:ind w:left="100" w:right="6982" w:firstLine="0"/>
        <w:jc w:val="left"/>
        <w:rPr>
          <w:sz w:val="20"/>
        </w:rPr>
      </w:pPr>
      <w:r>
        <w:rPr>
          <w:sz w:val="20"/>
        </w:rPr>
        <w:t>Type of Presentation: Oral Session name:</w:t>
      </w:r>
    </w:p>
    <w:p>
      <w:pPr>
        <w:spacing w:line="480" w:lineRule="auto" w:before="0"/>
        <w:ind w:left="100" w:right="0" w:firstLine="0"/>
        <w:jc w:val="left"/>
        <w:rPr>
          <w:sz w:val="20"/>
        </w:rPr>
      </w:pPr>
      <w:r>
        <w:rPr>
          <w:sz w:val="20"/>
        </w:rPr>
        <w:t>Research interests: Esophageal disorders, Hepatocelular carcinoma, IBD, Pancreatic diseases and Colon cancer. Funding Source (If any):</w:t>
      </w:r>
    </w:p>
    <w:p>
      <w:pPr>
        <w:spacing w:line="229" w:lineRule="exact" w:before="1"/>
        <w:ind w:left="100" w:right="0" w:firstLine="0"/>
        <w:jc w:val="left"/>
        <w:rPr>
          <w:sz w:val="20"/>
        </w:rPr>
      </w:pPr>
      <w:r>
        <w:rPr>
          <w:sz w:val="20"/>
        </w:rPr>
        <w:t>Your profile page URL in your department:</w:t>
      </w:r>
    </w:p>
    <w:p>
      <w:pPr>
        <w:spacing w:line="229" w:lineRule="exact" w:before="0"/>
        <w:ind w:left="100" w:right="0" w:firstLine="0"/>
        <w:jc w:val="left"/>
        <w:rPr>
          <w:sz w:val="20"/>
        </w:rPr>
      </w:pPr>
      <w:r>
        <w:rPr>
          <w:sz w:val="20"/>
        </w:rPr>
        <w:t>Linked In/Facebook/twitter account:</w:t>
      </w:r>
    </w:p>
    <w:p>
      <w:pPr>
        <w:spacing w:before="2"/>
        <w:ind w:left="100" w:right="873" w:firstLine="0"/>
        <w:jc w:val="left"/>
        <w:rPr>
          <w:sz w:val="20"/>
        </w:rPr>
      </w:pPr>
      <w:r>
        <w:rPr>
          <w:sz w:val="20"/>
        </w:rPr>
        <w:t>Postal address: Official : Institute of Liver, Gastroenterology &amp; Pancreatico Biliary Sciences, SGRDH, Bathinda, Punjab, India.</w:t>
      </w:r>
    </w:p>
    <w:p>
      <w:pPr>
        <w:spacing w:line="717" w:lineRule="auto" w:before="0"/>
        <w:ind w:left="100" w:right="260" w:firstLine="0"/>
        <w:jc w:val="left"/>
        <w:rPr>
          <w:sz w:val="20"/>
        </w:rPr>
      </w:pPr>
      <w:r>
        <w:rPr>
          <w:sz w:val="20"/>
        </w:rPr>
        <w:t>Residential : Balwant Singh Gill, H.No.128, Patti Masse Ki, VPO – Thulliwal-148025, Barnala, Punjab, India. Comments:</w:t>
      </w:r>
    </w:p>
    <w:sectPr>
      <w:pgSz w:w="11910" w:h="16840"/>
      <w:pgMar w:top="1420" w:bottom="280" w:left="1340" w:right="134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Symbol">
    <w:altName w:val="Symbol"/>
    <w:charset w:val="2"/>
    <w:family w:val="roman"/>
    <w:pitch w:val="variable"/>
  </w:font>
  <w:font w:name="Trebuchet MS">
    <w:altName w:val="Trebuchet MS"/>
    <w:charset w:val="0"/>
    <w:family w:val="swiss"/>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0"/>
      <w:numFmt w:val="bullet"/>
      <w:lvlText w:val="*"/>
      <w:lvlJc w:val="left"/>
      <w:pPr>
        <w:ind w:left="100" w:hanging="152"/>
      </w:pPr>
      <w:rPr>
        <w:rFonts w:hint="default" w:ascii="Times New Roman" w:hAnsi="Times New Roman" w:eastAsia="Times New Roman" w:cs="Times New Roman"/>
        <w:b/>
        <w:bCs/>
        <w:i/>
        <w:w w:val="100"/>
        <w:sz w:val="20"/>
        <w:szCs w:val="20"/>
        <w:lang w:val="en-US" w:eastAsia="en-US" w:bidi="ar-SA"/>
      </w:rPr>
    </w:lvl>
    <w:lvl w:ilvl="1">
      <w:start w:val="0"/>
      <w:numFmt w:val="bullet"/>
      <w:lvlText w:val=""/>
      <w:lvlJc w:val="left"/>
      <w:pPr>
        <w:ind w:left="872" w:hanging="360"/>
      </w:pPr>
      <w:rPr>
        <w:rFonts w:hint="default" w:ascii="Symbol" w:hAnsi="Symbol" w:eastAsia="Symbol" w:cs="Symbol"/>
        <w:w w:val="100"/>
        <w:sz w:val="20"/>
        <w:szCs w:val="20"/>
        <w:lang w:val="en-US" w:eastAsia="en-US" w:bidi="ar-SA"/>
      </w:rPr>
    </w:lvl>
    <w:lvl w:ilvl="2">
      <w:start w:val="0"/>
      <w:numFmt w:val="bullet"/>
      <w:lvlText w:val="•"/>
      <w:lvlJc w:val="left"/>
      <w:pPr>
        <w:ind w:left="1807" w:hanging="360"/>
      </w:pPr>
      <w:rPr>
        <w:rFonts w:hint="default"/>
        <w:lang w:val="en-US" w:eastAsia="en-US" w:bidi="ar-SA"/>
      </w:rPr>
    </w:lvl>
    <w:lvl w:ilvl="3">
      <w:start w:val="0"/>
      <w:numFmt w:val="bullet"/>
      <w:lvlText w:val="•"/>
      <w:lvlJc w:val="left"/>
      <w:pPr>
        <w:ind w:left="2735" w:hanging="360"/>
      </w:pPr>
      <w:rPr>
        <w:rFonts w:hint="default"/>
        <w:lang w:val="en-US" w:eastAsia="en-US" w:bidi="ar-SA"/>
      </w:rPr>
    </w:lvl>
    <w:lvl w:ilvl="4">
      <w:start w:val="0"/>
      <w:numFmt w:val="bullet"/>
      <w:lvlText w:val="•"/>
      <w:lvlJc w:val="left"/>
      <w:pPr>
        <w:ind w:left="3662" w:hanging="360"/>
      </w:pPr>
      <w:rPr>
        <w:rFonts w:hint="default"/>
        <w:lang w:val="en-US" w:eastAsia="en-US" w:bidi="ar-SA"/>
      </w:rPr>
    </w:lvl>
    <w:lvl w:ilvl="5">
      <w:start w:val="0"/>
      <w:numFmt w:val="bullet"/>
      <w:lvlText w:val="•"/>
      <w:lvlJc w:val="left"/>
      <w:pPr>
        <w:ind w:left="4590" w:hanging="360"/>
      </w:pPr>
      <w:rPr>
        <w:rFonts w:hint="default"/>
        <w:lang w:val="en-US" w:eastAsia="en-US" w:bidi="ar-SA"/>
      </w:rPr>
    </w:lvl>
    <w:lvl w:ilvl="6">
      <w:start w:val="0"/>
      <w:numFmt w:val="bullet"/>
      <w:lvlText w:val="•"/>
      <w:lvlJc w:val="left"/>
      <w:pPr>
        <w:ind w:left="5517" w:hanging="360"/>
      </w:pPr>
      <w:rPr>
        <w:rFonts w:hint="default"/>
        <w:lang w:val="en-US" w:eastAsia="en-US" w:bidi="ar-SA"/>
      </w:rPr>
    </w:lvl>
    <w:lvl w:ilvl="7">
      <w:start w:val="0"/>
      <w:numFmt w:val="bullet"/>
      <w:lvlText w:val="•"/>
      <w:lvlJc w:val="left"/>
      <w:pPr>
        <w:ind w:left="6445" w:hanging="360"/>
      </w:pPr>
      <w:rPr>
        <w:rFonts w:hint="default"/>
        <w:lang w:val="en-US" w:eastAsia="en-US" w:bidi="ar-SA"/>
      </w:rPr>
    </w:lvl>
    <w:lvl w:ilvl="8">
      <w:start w:val="0"/>
      <w:numFmt w:val="bullet"/>
      <w:lvlText w:val="•"/>
      <w:lvlJc w:val="left"/>
      <w:pPr>
        <w:ind w:left="7372" w:hanging="360"/>
      </w:pPr>
      <w:rPr>
        <w:rFonts w:hint="default"/>
        <w:lang w:val="en-U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ar-SA"/>
    </w:rPr>
  </w:style>
  <w:style w:styleId="BodyText" w:type="paragraph">
    <w:name w:val="Body Text"/>
    <w:basedOn w:val="Normal"/>
    <w:uiPriority w:val="1"/>
    <w:qFormat/>
    <w:pPr/>
    <w:rPr>
      <w:rFonts w:ascii="Times New Roman" w:hAnsi="Times New Roman" w:eastAsia="Times New Roman" w:cs="Times New Roman"/>
      <w:b/>
      <w:bCs/>
      <w:i/>
      <w:sz w:val="20"/>
      <w:szCs w:val="20"/>
      <w:lang w:val="en-US" w:eastAsia="en-US" w:bidi="ar-SA"/>
    </w:rPr>
  </w:style>
  <w:style w:styleId="Title" w:type="paragraph">
    <w:name w:val="Title"/>
    <w:basedOn w:val="Normal"/>
    <w:uiPriority w:val="1"/>
    <w:qFormat/>
    <w:pPr>
      <w:spacing w:before="122"/>
      <w:ind w:left="100"/>
    </w:pPr>
    <w:rPr>
      <w:rFonts w:ascii="Times New Roman" w:hAnsi="Times New Roman" w:eastAsia="Times New Roman" w:cs="Times New Roman"/>
      <w:b/>
      <w:bCs/>
      <w:sz w:val="32"/>
      <w:szCs w:val="32"/>
      <w:lang w:val="en-US" w:eastAsia="en-US" w:bidi="ar-SA"/>
    </w:rPr>
  </w:style>
  <w:style w:styleId="ListParagraph" w:type="paragraph">
    <w:name w:val="List Paragraph"/>
    <w:basedOn w:val="Normal"/>
    <w:uiPriority w:val="1"/>
    <w:qFormat/>
    <w:pPr>
      <w:ind w:left="820" w:hanging="361"/>
    </w:pPr>
    <w:rPr>
      <w:rFonts w:ascii="Times New Roman" w:hAnsi="Times New Roman" w:eastAsia="Times New Roman" w:cs="Times New Roman"/>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hyperlink" Target="mailto:dr.bsgill1@gmail.com" TargetMode="External"/><Relationship Id="rId7" Type="http://schemas.openxmlformats.org/officeDocument/2006/relationships/image" Target="media/image2.jpeg"/><Relationship Id="rId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Balwant Singh Gill</dc:creator>
  <dcterms:created xsi:type="dcterms:W3CDTF">2022-11-04T05:50:16Z</dcterms:created>
  <dcterms:modified xsi:type="dcterms:W3CDTF">2022-11-04T05:50:16Z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2022-11-02T00:00:00Z</vt:filetime>
  </property>
  <property fmtid="{D5CDD505-2E9C-101B-9397-08002B2CF9AE}" pid="3" name="Creator">
    <vt:lpwstr>Microsoft® Word 2010</vt:lpwstr>
  </property>
  <property fmtid="{D5CDD505-2E9C-101B-9397-08002B2CF9AE}" pid="4" name="LastSaved">
    <vt:filetime>2022-11-04T00:00:00Z</vt:filetime>
  </property>
</Properties>
</file>