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2C794" w14:textId="699B2762" w:rsidR="00AE3E37" w:rsidRDefault="00801A5D" w:rsidP="000534A1">
      <w:pPr>
        <w:pStyle w:val="Heading1"/>
        <w:spacing w:before="170"/>
        <w:ind w:left="0"/>
        <w:jc w:val="both"/>
        <w:rPr>
          <w:rFonts w:ascii="Times New Roman" w:hAnsi="Times New Roman" w:cs="Times New Roman"/>
          <w:color w:val="337AB7"/>
          <w:sz w:val="24"/>
          <w:szCs w:val="24"/>
        </w:rPr>
      </w:pPr>
      <w:r w:rsidRPr="00E7324C">
        <w:rPr>
          <w:rFonts w:ascii="Times New Roman" w:hAnsi="Times New Roman" w:cs="Times New Roman"/>
          <w:color w:val="337AB7"/>
          <w:sz w:val="24"/>
          <w:szCs w:val="24"/>
        </w:rPr>
        <w:t>Association of fructose consumption with manifestations of Functional Gastrointestinal Disorders (FGIDs): The Hellenic National Nutrition and Health Survey (HNNHS)</w:t>
      </w:r>
    </w:p>
    <w:p w14:paraId="0042B6EB" w14:textId="77777777" w:rsidR="00E7324C" w:rsidRPr="00E7324C" w:rsidRDefault="00E7324C" w:rsidP="000534A1">
      <w:pPr>
        <w:pStyle w:val="Heading1"/>
        <w:spacing w:before="170"/>
        <w:ind w:left="0"/>
        <w:jc w:val="both"/>
        <w:rPr>
          <w:rFonts w:ascii="Times New Roman" w:hAnsi="Times New Roman" w:cs="Times New Roman"/>
          <w:sz w:val="24"/>
          <w:szCs w:val="24"/>
        </w:rPr>
      </w:pPr>
    </w:p>
    <w:p w14:paraId="408FD996" w14:textId="77777777" w:rsidR="00E7324C" w:rsidRPr="00E7324C" w:rsidRDefault="00801A5D" w:rsidP="00E7324C">
      <w:pPr>
        <w:pStyle w:val="BodyText"/>
        <w:tabs>
          <w:tab w:val="left" w:pos="4536"/>
        </w:tabs>
        <w:spacing w:before="73" w:line="198" w:lineRule="exact"/>
        <w:ind w:right="58"/>
        <w:rPr>
          <w:rFonts w:ascii="Times New Roman" w:hAnsi="Times New Roman" w:cs="Times New Roman"/>
          <w:b/>
          <w:bCs/>
          <w:sz w:val="24"/>
          <w:szCs w:val="24"/>
        </w:rPr>
      </w:pPr>
      <w:r w:rsidRPr="00E7324C">
        <w:rPr>
          <w:rFonts w:ascii="Times New Roman" w:hAnsi="Times New Roman" w:cs="Times New Roman"/>
          <w:b/>
          <w:bCs/>
          <w:sz w:val="24"/>
          <w:szCs w:val="24"/>
        </w:rPr>
        <w:t>Theodoros Smiliotopoulos</w:t>
      </w:r>
      <w:r w:rsidR="005973B9" w:rsidRPr="00E7324C">
        <w:rPr>
          <w:rFonts w:ascii="Times New Roman" w:hAnsi="Times New Roman" w:cs="Times New Roman"/>
          <w:b/>
          <w:bCs/>
          <w:sz w:val="24"/>
          <w:szCs w:val="24"/>
        </w:rPr>
        <w:t>, PhD</w:t>
      </w:r>
      <w:r w:rsidRPr="00E7324C">
        <w:rPr>
          <w:rFonts w:ascii="Times New Roman" w:hAnsi="Times New Roman" w:cs="Times New Roman"/>
          <w:b/>
          <w:bCs/>
          <w:sz w:val="24"/>
          <w:szCs w:val="24"/>
        </w:rPr>
        <w:t>c</w:t>
      </w:r>
    </w:p>
    <w:p w14:paraId="4A25E4A5" w14:textId="77777777" w:rsidR="00E7324C" w:rsidRDefault="00801A5D" w:rsidP="00E7324C">
      <w:pPr>
        <w:pStyle w:val="BodyText"/>
        <w:tabs>
          <w:tab w:val="left" w:pos="4536"/>
        </w:tabs>
        <w:spacing w:before="73" w:line="198" w:lineRule="exact"/>
        <w:ind w:right="58"/>
        <w:rPr>
          <w:rFonts w:ascii="Times New Roman" w:hAnsi="Times New Roman" w:cs="Times New Roman"/>
          <w:sz w:val="24"/>
          <w:szCs w:val="24"/>
        </w:rPr>
      </w:pPr>
      <w:r w:rsidRPr="00E7324C">
        <w:rPr>
          <w:rFonts w:ascii="Times New Roman" w:hAnsi="Times New Roman" w:cs="Times New Roman"/>
          <w:sz w:val="24"/>
          <w:szCs w:val="24"/>
        </w:rPr>
        <w:t>Agricultural University of Athens</w:t>
      </w:r>
      <w:r w:rsidR="005973B9" w:rsidRPr="00E7324C">
        <w:rPr>
          <w:rFonts w:ascii="Times New Roman" w:hAnsi="Times New Roman" w:cs="Times New Roman"/>
          <w:sz w:val="24"/>
          <w:szCs w:val="24"/>
        </w:rPr>
        <w:t xml:space="preserve">, </w:t>
      </w:r>
      <w:r w:rsidRPr="00E7324C">
        <w:rPr>
          <w:rFonts w:ascii="Times New Roman" w:hAnsi="Times New Roman" w:cs="Times New Roman"/>
          <w:sz w:val="24"/>
          <w:szCs w:val="24"/>
        </w:rPr>
        <w:t>Greece</w:t>
      </w:r>
    </w:p>
    <w:p w14:paraId="5AD39D03" w14:textId="77777777" w:rsidR="00E7324C" w:rsidRDefault="00E7324C" w:rsidP="00E7324C">
      <w:pPr>
        <w:pStyle w:val="BodyText"/>
        <w:tabs>
          <w:tab w:val="left" w:pos="4536"/>
        </w:tabs>
        <w:spacing w:before="73" w:line="198" w:lineRule="exact"/>
        <w:ind w:right="58"/>
        <w:rPr>
          <w:rFonts w:ascii="Times New Roman" w:hAnsi="Times New Roman" w:cs="Times New Roman"/>
          <w:sz w:val="24"/>
          <w:szCs w:val="24"/>
        </w:rPr>
      </w:pPr>
    </w:p>
    <w:p w14:paraId="7391ED74" w14:textId="2AC175DE" w:rsidR="00AE3E37" w:rsidRPr="00E7324C" w:rsidRDefault="00A9710C" w:rsidP="00E7324C">
      <w:pPr>
        <w:pStyle w:val="BodyText"/>
        <w:tabs>
          <w:tab w:val="left" w:pos="4536"/>
        </w:tabs>
        <w:spacing w:before="73" w:line="198" w:lineRule="exact"/>
        <w:ind w:right="58"/>
        <w:jc w:val="center"/>
        <w:rPr>
          <w:rFonts w:ascii="Times New Roman" w:hAnsi="Times New Roman" w:cs="Times New Roman"/>
          <w:sz w:val="24"/>
          <w:szCs w:val="24"/>
        </w:rPr>
      </w:pPr>
      <w:r w:rsidRPr="00E7324C">
        <w:rPr>
          <w:rFonts w:ascii="Times New Roman" w:hAnsi="Times New Roman" w:cs="Times New Roman"/>
          <w:color w:val="BF5A14"/>
          <w:sz w:val="24"/>
          <w:szCs w:val="24"/>
        </w:rPr>
        <w:t>Abstract</w:t>
      </w:r>
    </w:p>
    <w:p w14:paraId="61D11347" w14:textId="5F65B2C7" w:rsidR="008732BC" w:rsidRPr="00E7324C" w:rsidRDefault="008732BC" w:rsidP="008732BC">
      <w:pPr>
        <w:pStyle w:val="BodyText"/>
        <w:spacing w:before="90" w:line="280" w:lineRule="auto"/>
        <w:ind w:left="100"/>
        <w:jc w:val="both"/>
        <w:rPr>
          <w:rFonts w:ascii="Times New Roman" w:hAnsi="Times New Roman" w:cs="Times New Roman"/>
          <w:sz w:val="24"/>
          <w:szCs w:val="24"/>
        </w:rPr>
      </w:pPr>
      <w:r w:rsidRPr="00E7324C">
        <w:rPr>
          <w:rFonts w:ascii="Times New Roman" w:hAnsi="Times New Roman" w:cs="Times New Roman"/>
          <w:b/>
          <w:bCs/>
          <w:sz w:val="24"/>
          <w:szCs w:val="24"/>
        </w:rPr>
        <w:t>Background:</w:t>
      </w:r>
      <w:r w:rsidRPr="00E7324C">
        <w:rPr>
          <w:rFonts w:ascii="Times New Roman" w:hAnsi="Times New Roman" w:cs="Times New Roman"/>
          <w:sz w:val="24"/>
          <w:szCs w:val="24"/>
        </w:rPr>
        <w:t xml:space="preserve"> The study aimed to assess the prevalence of functional gastrointestinal disorders (FGIDs) and irritable bowel syndrome (IBS) among adults and to determine </w:t>
      </w:r>
      <w:r w:rsidR="00BC0A24" w:rsidRPr="00E7324C">
        <w:rPr>
          <w:rFonts w:ascii="Times New Roman" w:hAnsi="Times New Roman" w:cs="Times New Roman"/>
          <w:sz w:val="24"/>
          <w:szCs w:val="24"/>
        </w:rPr>
        <w:t>their</w:t>
      </w:r>
      <w:r w:rsidRPr="00E7324C">
        <w:rPr>
          <w:rFonts w:ascii="Times New Roman" w:hAnsi="Times New Roman" w:cs="Times New Roman"/>
          <w:sz w:val="24"/>
          <w:szCs w:val="24"/>
        </w:rPr>
        <w:t xml:space="preserve"> association with fructose consumption. </w:t>
      </w:r>
    </w:p>
    <w:p w14:paraId="2CDD738B" w14:textId="79A32898" w:rsidR="008732BC" w:rsidRPr="00E7324C" w:rsidRDefault="008732BC" w:rsidP="008732BC">
      <w:pPr>
        <w:pStyle w:val="BodyText"/>
        <w:spacing w:before="90" w:line="280" w:lineRule="auto"/>
        <w:ind w:left="100"/>
        <w:jc w:val="both"/>
        <w:rPr>
          <w:rFonts w:ascii="Times New Roman" w:hAnsi="Times New Roman" w:cs="Times New Roman"/>
          <w:sz w:val="24"/>
          <w:szCs w:val="24"/>
        </w:rPr>
      </w:pPr>
      <w:r w:rsidRPr="00E7324C">
        <w:rPr>
          <w:rFonts w:ascii="Times New Roman" w:hAnsi="Times New Roman" w:cs="Times New Roman"/>
          <w:b/>
          <w:bCs/>
          <w:sz w:val="24"/>
          <w:szCs w:val="24"/>
        </w:rPr>
        <w:t>Methods:</w:t>
      </w:r>
      <w:r w:rsidRPr="00E7324C">
        <w:rPr>
          <w:rFonts w:ascii="Times New Roman" w:hAnsi="Times New Roman" w:cs="Times New Roman"/>
          <w:sz w:val="24"/>
          <w:szCs w:val="24"/>
        </w:rPr>
        <w:t xml:space="preserve"> Data from the Hellenic National Nutrition and Health Survey (HNNHS) were included (3798 adults; 58.9% females). Information regarding FGID symptomatology was assessed using validated questionnaires and ROME III association criteria, in a sample of the population. Fructose intake was estimated using 24 hour recalls and MedDiet score to assess adherence to the Mediterranean diet. Multiple logistic regression analysis by tertile of fructose consumption was used to examine associations. Predicted probabilities of IBS were derived and post hoc analysis for MedDiet score and added sugar intake were performed, by area.</w:t>
      </w:r>
    </w:p>
    <w:p w14:paraId="46A672CA" w14:textId="7B95E12B" w:rsidR="008732BC" w:rsidRPr="00E7324C" w:rsidRDefault="008732BC" w:rsidP="008732BC">
      <w:pPr>
        <w:pStyle w:val="BodyText"/>
        <w:spacing w:before="90" w:line="280" w:lineRule="auto"/>
        <w:ind w:left="100"/>
        <w:jc w:val="both"/>
        <w:rPr>
          <w:rFonts w:ascii="Times New Roman" w:hAnsi="Times New Roman" w:cs="Times New Roman"/>
          <w:sz w:val="24"/>
          <w:szCs w:val="24"/>
        </w:rPr>
      </w:pPr>
      <w:r w:rsidRPr="00E7324C">
        <w:rPr>
          <w:rFonts w:ascii="Times New Roman" w:hAnsi="Times New Roman" w:cs="Times New Roman"/>
          <w:b/>
          <w:bCs/>
          <w:sz w:val="24"/>
          <w:szCs w:val="24"/>
        </w:rPr>
        <w:t>Results:</w:t>
      </w:r>
      <w:r w:rsidRPr="00E7324C">
        <w:rPr>
          <w:rFonts w:ascii="Times New Roman" w:hAnsi="Times New Roman" w:cs="Times New Roman"/>
          <w:sz w:val="24"/>
          <w:szCs w:val="24"/>
        </w:rPr>
        <w:t xml:space="preserve"> The prevalence of FGID symptomatology was 20.2%, and 8.2% had IBS specifically (representing 40.2% of total FGID). The odds of FGID significantly increased by 28% (95%CI: 1.03-1.6) and IBS by 49% (95%CI: 1.08-2.05) in individuals with higher fructose intake (3rd tertile compared to 1st).  When area of residence was accounted for, individuals residing in the Greek islands, had a significantly lower probability of FGID and IBS compared to those residing in Mainland and the main Metropolitan areas. Islanders were also found to have a higher MedDiet score and lower added sugar intake, compared to the main metropolitan area. </w:t>
      </w:r>
    </w:p>
    <w:p w14:paraId="7A8E7A4F" w14:textId="77777777" w:rsidR="008732BC" w:rsidRPr="00E7324C" w:rsidRDefault="008732BC" w:rsidP="008732BC">
      <w:pPr>
        <w:pStyle w:val="BodyText"/>
        <w:spacing w:before="90" w:line="280" w:lineRule="auto"/>
        <w:ind w:left="100"/>
        <w:jc w:val="both"/>
        <w:rPr>
          <w:rFonts w:ascii="Times New Roman" w:hAnsi="Times New Roman" w:cs="Times New Roman"/>
          <w:sz w:val="24"/>
          <w:szCs w:val="24"/>
        </w:rPr>
      </w:pPr>
      <w:r w:rsidRPr="00E7324C">
        <w:rPr>
          <w:rFonts w:ascii="Times New Roman" w:hAnsi="Times New Roman" w:cs="Times New Roman"/>
          <w:b/>
          <w:bCs/>
          <w:sz w:val="24"/>
          <w:szCs w:val="24"/>
        </w:rPr>
        <w:t>Conclusions:</w:t>
      </w:r>
      <w:r w:rsidRPr="00E7324C">
        <w:rPr>
          <w:rFonts w:ascii="Times New Roman" w:hAnsi="Times New Roman" w:cs="Times New Roman"/>
          <w:sz w:val="24"/>
          <w:szCs w:val="24"/>
        </w:rPr>
        <w:t xml:space="preserve"> FGID and IBS symptomatology was most prominent among individuals with higher fructose consumption, although this was most prominent in areas with a lower Mediterranean diet adherence, suggesting that fructose dietary source and not total fructose may be contributing to FGID.</w:t>
      </w:r>
    </w:p>
    <w:p w14:paraId="5BDB2608" w14:textId="033B745B" w:rsidR="00E7324C" w:rsidRPr="00E7324C" w:rsidRDefault="008732BC" w:rsidP="00E7324C">
      <w:pPr>
        <w:pStyle w:val="BodyText"/>
        <w:spacing w:before="90" w:line="280" w:lineRule="auto"/>
        <w:ind w:left="100"/>
        <w:jc w:val="both"/>
        <w:rPr>
          <w:rFonts w:ascii="Times New Roman" w:hAnsi="Times New Roman" w:cs="Times New Roman"/>
          <w:sz w:val="24"/>
          <w:szCs w:val="24"/>
        </w:rPr>
      </w:pPr>
      <w:r w:rsidRPr="00E7324C">
        <w:rPr>
          <w:rFonts w:ascii="Times New Roman" w:hAnsi="Times New Roman" w:cs="Times New Roman"/>
          <w:b/>
          <w:bCs/>
          <w:sz w:val="24"/>
          <w:szCs w:val="24"/>
        </w:rPr>
        <w:t>Keywords:</w:t>
      </w:r>
      <w:r w:rsidRPr="00E7324C">
        <w:rPr>
          <w:rFonts w:ascii="Times New Roman" w:hAnsi="Times New Roman" w:cs="Times New Roman"/>
          <w:sz w:val="24"/>
          <w:szCs w:val="24"/>
        </w:rPr>
        <w:t xml:space="preserve"> Gastrointestinal Disorders, IBS, ROME III, Fructose consumption, Mediterranean diet.</w:t>
      </w:r>
    </w:p>
    <w:p w14:paraId="6E2B1796" w14:textId="488DAC40" w:rsidR="00AE3E37" w:rsidRPr="00E7324C" w:rsidRDefault="00801A5D" w:rsidP="00E7324C">
      <w:pPr>
        <w:pStyle w:val="BodyText"/>
        <w:spacing w:before="2"/>
        <w:jc w:val="center"/>
        <w:rPr>
          <w:rFonts w:ascii="Times New Roman" w:hAnsi="Times New Roman" w:cs="Times New Roman"/>
          <w:b/>
          <w:sz w:val="24"/>
          <w:szCs w:val="24"/>
        </w:rPr>
      </w:pPr>
      <w:r w:rsidRPr="00E7324C">
        <w:rPr>
          <w:rFonts w:ascii="Times New Roman" w:hAnsi="Times New Roman" w:cs="Times New Roman"/>
          <w:noProof/>
          <w:sz w:val="24"/>
          <w:szCs w:val="24"/>
        </w:rPr>
        <w:lastRenderedPageBreak/>
        <w:drawing>
          <wp:inline distT="0" distB="0" distL="0" distR="0" wp14:anchorId="28EB491D" wp14:editId="708C11A4">
            <wp:extent cx="3165475" cy="2722245"/>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65475" cy="2722245"/>
                    </a:xfrm>
                    <a:prstGeom prst="rect">
                      <a:avLst/>
                    </a:prstGeom>
                    <a:noFill/>
                    <a:ln>
                      <a:noFill/>
                    </a:ln>
                  </pic:spPr>
                </pic:pic>
              </a:graphicData>
            </a:graphic>
          </wp:inline>
        </w:drawing>
      </w:r>
    </w:p>
    <w:p w14:paraId="0634D7F2" w14:textId="591608FA" w:rsidR="005973B9" w:rsidRPr="00E7324C" w:rsidRDefault="005973B9" w:rsidP="005973B9">
      <w:pPr>
        <w:spacing w:line="204" w:lineRule="exact"/>
        <w:rPr>
          <w:rFonts w:ascii="Times New Roman" w:hAnsi="Times New Roman" w:cs="Times New Roman"/>
          <w:b/>
          <w:sz w:val="24"/>
          <w:szCs w:val="24"/>
        </w:rPr>
      </w:pPr>
      <w:r w:rsidRPr="00E7324C">
        <w:rPr>
          <w:rFonts w:ascii="Times New Roman" w:hAnsi="Times New Roman" w:cs="Times New Roman"/>
          <w:b/>
          <w:color w:val="BF5A14"/>
          <w:sz w:val="24"/>
          <w:szCs w:val="24"/>
        </w:rPr>
        <w:br/>
        <w:t>Recent Publications</w:t>
      </w:r>
      <w:r w:rsidR="00E7324C">
        <w:rPr>
          <w:rFonts w:ascii="Times New Roman" w:hAnsi="Times New Roman" w:cs="Times New Roman"/>
          <w:b/>
          <w:color w:val="BF5A14"/>
          <w:sz w:val="24"/>
          <w:szCs w:val="24"/>
        </w:rPr>
        <w:br/>
      </w:r>
    </w:p>
    <w:p w14:paraId="344D1B88" w14:textId="6CB598CC" w:rsidR="005973B9" w:rsidRPr="00E7324C" w:rsidRDefault="008732BC" w:rsidP="00C203C0">
      <w:pPr>
        <w:pStyle w:val="ListParagraph"/>
        <w:numPr>
          <w:ilvl w:val="0"/>
          <w:numId w:val="4"/>
        </w:numPr>
        <w:tabs>
          <w:tab w:val="left" w:pos="384"/>
        </w:tabs>
        <w:spacing w:before="103" w:line="240" w:lineRule="auto"/>
        <w:ind w:left="714" w:right="138" w:hanging="357"/>
        <w:rPr>
          <w:rFonts w:ascii="Times New Roman" w:hAnsi="Times New Roman" w:cs="Times New Roman"/>
          <w:sz w:val="24"/>
          <w:szCs w:val="24"/>
        </w:rPr>
      </w:pPr>
      <w:r w:rsidRPr="00E7324C">
        <w:rPr>
          <w:rFonts w:ascii="Times New Roman" w:hAnsi="Times New Roman" w:cs="Times New Roman"/>
          <w:sz w:val="24"/>
          <w:szCs w:val="24"/>
          <w:lang w:val="it-IT"/>
        </w:rPr>
        <w:t xml:space="preserve">C. Strisciuglio, S. Cenni, M. R. Serra, P. Dolce, S. Kolacek, S. Sila, et al. </w:t>
      </w:r>
      <w:r w:rsidRPr="00E7324C">
        <w:rPr>
          <w:rFonts w:ascii="Times New Roman" w:hAnsi="Times New Roman" w:cs="Times New Roman"/>
          <w:sz w:val="24"/>
          <w:szCs w:val="24"/>
        </w:rPr>
        <w:t xml:space="preserve">(2022) Diet and Pediatric Functional Gastrointestinal Disorders in Mediterranean Countries. </w:t>
      </w:r>
      <w:r w:rsidRPr="00E7324C">
        <w:rPr>
          <w:rFonts w:ascii="Times New Roman" w:hAnsi="Times New Roman" w:cs="Times New Roman"/>
          <w:i/>
          <w:iCs/>
          <w:sz w:val="24"/>
          <w:szCs w:val="24"/>
        </w:rPr>
        <w:t xml:space="preserve">Nutrients </w:t>
      </w:r>
      <w:r w:rsidRPr="00E7324C">
        <w:rPr>
          <w:rFonts w:ascii="Times New Roman" w:hAnsi="Times New Roman" w:cs="Times New Roman"/>
          <w:sz w:val="24"/>
          <w:szCs w:val="24"/>
        </w:rPr>
        <w:t>2022 Vol. 14 Issue 11 Pages 2335. DOI: 10.3390/nu1411233</w:t>
      </w:r>
      <w:r w:rsidR="005973B9" w:rsidRPr="00E7324C">
        <w:rPr>
          <w:rFonts w:ascii="Times New Roman" w:hAnsi="Times New Roman" w:cs="Times New Roman"/>
          <w:sz w:val="24"/>
          <w:szCs w:val="24"/>
        </w:rPr>
        <w:t>.</w:t>
      </w:r>
    </w:p>
    <w:p w14:paraId="0D26083A" w14:textId="112D18A5" w:rsidR="005973B9" w:rsidRPr="00E7324C" w:rsidRDefault="008732BC" w:rsidP="00C203C0">
      <w:pPr>
        <w:pStyle w:val="ListParagraph"/>
        <w:numPr>
          <w:ilvl w:val="0"/>
          <w:numId w:val="4"/>
        </w:numPr>
        <w:tabs>
          <w:tab w:val="left" w:pos="384"/>
        </w:tabs>
        <w:spacing w:line="240" w:lineRule="auto"/>
        <w:ind w:left="714" w:right="137" w:hanging="357"/>
        <w:rPr>
          <w:rFonts w:ascii="Times New Roman" w:hAnsi="Times New Roman" w:cs="Times New Roman"/>
          <w:sz w:val="24"/>
          <w:szCs w:val="24"/>
        </w:rPr>
      </w:pPr>
      <w:r w:rsidRPr="00E7324C">
        <w:rPr>
          <w:rFonts w:ascii="Times New Roman" w:hAnsi="Times New Roman" w:cs="Times New Roman"/>
          <w:sz w:val="24"/>
          <w:szCs w:val="24"/>
        </w:rPr>
        <w:t xml:space="preserve">R. Sámano, F. Esparza-Juárez, G. Chico-Barba, E. González-Medina, B. Sánchez-Jiménez and M. Hernández-Trejo (2022). Association of Diet, Body Mass Index, and Lifestyle on the Gastrointestinal Health Risk in a Sample of Adults. </w:t>
      </w:r>
      <w:r w:rsidRPr="00E7324C">
        <w:rPr>
          <w:rFonts w:ascii="Times New Roman" w:hAnsi="Times New Roman" w:cs="Times New Roman"/>
          <w:i/>
          <w:iCs/>
          <w:sz w:val="24"/>
          <w:szCs w:val="24"/>
        </w:rPr>
        <w:t xml:space="preserve">International Journal of Environmental Research and Public Health </w:t>
      </w:r>
      <w:r w:rsidRPr="00E7324C">
        <w:rPr>
          <w:rFonts w:ascii="Times New Roman" w:hAnsi="Times New Roman" w:cs="Times New Roman"/>
          <w:sz w:val="24"/>
          <w:szCs w:val="24"/>
        </w:rPr>
        <w:t>2022 Vol. 19 Issue 17 Pages 10569. DOI: 10.3390/ijerph191710569</w:t>
      </w:r>
      <w:r w:rsidR="00DC5B45" w:rsidRPr="00E7324C">
        <w:rPr>
          <w:rFonts w:ascii="Times New Roman" w:hAnsi="Times New Roman" w:cs="Times New Roman"/>
          <w:sz w:val="24"/>
          <w:szCs w:val="24"/>
        </w:rPr>
        <w:t>.</w:t>
      </w:r>
    </w:p>
    <w:p w14:paraId="0716480E" w14:textId="191CCCA6" w:rsidR="005973B9" w:rsidRPr="00E7324C" w:rsidRDefault="00DC5B45" w:rsidP="00C203C0">
      <w:pPr>
        <w:pStyle w:val="ListParagraph"/>
        <w:numPr>
          <w:ilvl w:val="0"/>
          <w:numId w:val="4"/>
        </w:numPr>
        <w:tabs>
          <w:tab w:val="left" w:pos="384"/>
        </w:tabs>
        <w:spacing w:line="240" w:lineRule="auto"/>
        <w:ind w:left="714" w:right="138" w:hanging="357"/>
        <w:rPr>
          <w:rFonts w:ascii="Times New Roman" w:hAnsi="Times New Roman" w:cs="Times New Roman"/>
          <w:sz w:val="24"/>
          <w:szCs w:val="24"/>
        </w:rPr>
      </w:pPr>
      <w:r w:rsidRPr="00E7324C">
        <w:rPr>
          <w:rFonts w:ascii="Times New Roman" w:hAnsi="Times New Roman" w:cs="Times New Roman"/>
          <w:sz w:val="24"/>
          <w:szCs w:val="24"/>
        </w:rPr>
        <w:t xml:space="preserve">S.-K. Hwang, Y.-J. Lee, M.-E. Cho, B.-K. Kim and Y.-I. Yoon (2022). Factors Associated with Gastrointestinal Symptoms among Rotating Shift Nurses in South Korea: A Cross-Sectional Study. International </w:t>
      </w:r>
      <w:r w:rsidRPr="00E7324C">
        <w:rPr>
          <w:rFonts w:ascii="Times New Roman" w:hAnsi="Times New Roman" w:cs="Times New Roman"/>
          <w:i/>
          <w:iCs/>
          <w:sz w:val="24"/>
          <w:szCs w:val="24"/>
        </w:rPr>
        <w:t xml:space="preserve">Journal of Environmental Research and Public Health </w:t>
      </w:r>
      <w:r w:rsidRPr="00E7324C">
        <w:rPr>
          <w:rFonts w:ascii="Times New Roman" w:hAnsi="Times New Roman" w:cs="Times New Roman"/>
          <w:sz w:val="24"/>
          <w:szCs w:val="24"/>
        </w:rPr>
        <w:t>2022 Vol. 19 Issue 16 Pages 9795. DOI: 10.3390/ijerph19169795.</w:t>
      </w:r>
    </w:p>
    <w:p w14:paraId="4EB487B6" w14:textId="77777777" w:rsidR="00E7324C" w:rsidRDefault="00DC5B45" w:rsidP="00C203C0">
      <w:pPr>
        <w:pStyle w:val="ListParagraph"/>
        <w:numPr>
          <w:ilvl w:val="0"/>
          <w:numId w:val="4"/>
        </w:numPr>
        <w:tabs>
          <w:tab w:val="left" w:pos="384"/>
        </w:tabs>
        <w:spacing w:before="92" w:line="240" w:lineRule="auto"/>
        <w:ind w:left="714" w:hanging="357"/>
        <w:rPr>
          <w:rFonts w:ascii="Times New Roman" w:hAnsi="Times New Roman" w:cs="Times New Roman"/>
          <w:sz w:val="24"/>
          <w:szCs w:val="24"/>
        </w:rPr>
      </w:pPr>
      <w:r w:rsidRPr="00E7324C">
        <w:rPr>
          <w:rFonts w:ascii="Times New Roman" w:hAnsi="Times New Roman" w:cs="Times New Roman"/>
          <w:sz w:val="24"/>
          <w:szCs w:val="24"/>
        </w:rPr>
        <w:t xml:space="preserve">D. Arnone, C. Chabot, A.-C. Heba, T. Kökten, B. Caron, F. Hansmannel, et al. (2022). Sugars and Gastrointestinal Health. </w:t>
      </w:r>
      <w:r w:rsidRPr="00E7324C">
        <w:rPr>
          <w:rFonts w:ascii="Times New Roman" w:hAnsi="Times New Roman" w:cs="Times New Roman"/>
          <w:i/>
          <w:iCs/>
          <w:sz w:val="24"/>
          <w:szCs w:val="24"/>
        </w:rPr>
        <w:t xml:space="preserve">Clinical Gastroenterology and Hepatology </w:t>
      </w:r>
      <w:r w:rsidRPr="00E7324C">
        <w:rPr>
          <w:rFonts w:ascii="Times New Roman" w:hAnsi="Times New Roman" w:cs="Times New Roman"/>
          <w:sz w:val="24"/>
          <w:szCs w:val="24"/>
        </w:rPr>
        <w:t>2022 Vol. 20 Issue 9 Pages 1912-1924.e7. DOI: 10.1016/j.cgh.2021.12.011</w:t>
      </w:r>
      <w:r w:rsidR="005973B9" w:rsidRPr="00E7324C">
        <w:rPr>
          <w:rFonts w:ascii="Times New Roman" w:hAnsi="Times New Roman" w:cs="Times New Roman"/>
          <w:sz w:val="24"/>
          <w:szCs w:val="24"/>
        </w:rPr>
        <w:t>.</w:t>
      </w:r>
    </w:p>
    <w:p w14:paraId="7A5D88D9" w14:textId="510B720E" w:rsidR="00AE3E37" w:rsidRPr="00E7324C" w:rsidRDefault="00365A42" w:rsidP="00C203C0">
      <w:pPr>
        <w:pStyle w:val="ListParagraph"/>
        <w:numPr>
          <w:ilvl w:val="0"/>
          <w:numId w:val="4"/>
        </w:numPr>
        <w:tabs>
          <w:tab w:val="left" w:pos="384"/>
        </w:tabs>
        <w:spacing w:before="92" w:line="240" w:lineRule="auto"/>
        <w:ind w:left="714" w:right="117" w:hanging="357"/>
        <w:rPr>
          <w:rFonts w:ascii="Times New Roman" w:hAnsi="Times New Roman" w:cs="Times New Roman"/>
          <w:sz w:val="24"/>
          <w:szCs w:val="24"/>
        </w:rPr>
      </w:pPr>
      <w:r w:rsidRPr="00E7324C">
        <w:rPr>
          <w:rFonts w:ascii="Times New Roman" w:hAnsi="Times New Roman" w:cs="Times New Roman"/>
          <w:sz w:val="24"/>
          <w:szCs w:val="24"/>
        </w:rPr>
        <w:t xml:space="preserve">A. D. Sperber, S. I. Bangdiwala, D. A. Drossman, U. C. Ghoshal, M. Simren, J. Tack, et al. (2021). Worldwide Prevalence and Burden of Functional Gastrointestinal Disorders, Results of Rome Foundation Global Study. </w:t>
      </w:r>
      <w:r w:rsidRPr="00E7324C">
        <w:rPr>
          <w:rFonts w:ascii="Times New Roman" w:hAnsi="Times New Roman" w:cs="Times New Roman"/>
          <w:i/>
          <w:iCs/>
          <w:sz w:val="24"/>
          <w:szCs w:val="24"/>
        </w:rPr>
        <w:t>Gastroenterology</w:t>
      </w:r>
      <w:r w:rsidRPr="00E7324C">
        <w:rPr>
          <w:rFonts w:ascii="Times New Roman" w:hAnsi="Times New Roman" w:cs="Times New Roman"/>
          <w:sz w:val="24"/>
          <w:szCs w:val="24"/>
        </w:rPr>
        <w:t xml:space="preserve"> 2021 Vol. 160 Issue 1 Pages 99-114.e3. DOI: 10.1053/j.gastro.2020.04.014</w:t>
      </w:r>
      <w:r w:rsidR="005973B9" w:rsidRPr="00E7324C">
        <w:rPr>
          <w:rFonts w:ascii="Times New Roman" w:hAnsi="Times New Roman" w:cs="Times New Roman"/>
          <w:sz w:val="24"/>
          <w:szCs w:val="24"/>
        </w:rPr>
        <w:t>.</w:t>
      </w:r>
    </w:p>
    <w:p w14:paraId="56F36F95" w14:textId="7115799F" w:rsidR="00AE3E37" w:rsidRDefault="00E7324C" w:rsidP="00404E5B">
      <w:pPr>
        <w:spacing w:before="92"/>
        <w:ind w:right="4234"/>
        <w:rPr>
          <w:rFonts w:ascii="Times New Roman" w:hAnsi="Times New Roman" w:cs="Times New Roman"/>
          <w:color w:val="BF5A14"/>
          <w:sz w:val="24"/>
          <w:szCs w:val="24"/>
        </w:rPr>
      </w:pPr>
      <w:r>
        <w:rPr>
          <w:rFonts w:ascii="Times New Roman" w:hAnsi="Times New Roman" w:cs="Times New Roman"/>
          <w:color w:val="BF5A14"/>
          <w:sz w:val="24"/>
          <w:szCs w:val="24"/>
        </w:rPr>
        <w:br/>
      </w:r>
      <w:r w:rsidR="00A9710C" w:rsidRPr="00E7324C">
        <w:rPr>
          <w:rFonts w:ascii="Times New Roman" w:hAnsi="Times New Roman" w:cs="Times New Roman"/>
          <w:color w:val="BF5A14"/>
          <w:sz w:val="24"/>
          <w:szCs w:val="24"/>
        </w:rPr>
        <w:t>Biography</w:t>
      </w:r>
    </w:p>
    <w:p w14:paraId="0FF31872" w14:textId="43038EEA" w:rsidR="00AE3E37" w:rsidRPr="00E7324C" w:rsidRDefault="00C22878" w:rsidP="00E7324C">
      <w:pPr>
        <w:pStyle w:val="BodyText"/>
        <w:spacing w:before="90" w:line="280" w:lineRule="auto"/>
        <w:jc w:val="both"/>
        <w:rPr>
          <w:rFonts w:ascii="Times New Roman" w:hAnsi="Times New Roman" w:cs="Times New Roman"/>
          <w:sz w:val="24"/>
          <w:szCs w:val="24"/>
        </w:rPr>
      </w:pPr>
      <w:r w:rsidRPr="00E7324C">
        <w:rPr>
          <w:rFonts w:ascii="Times New Roman" w:hAnsi="Times New Roman" w:cs="Times New Roman"/>
          <w:sz w:val="24"/>
          <w:szCs w:val="24"/>
        </w:rPr>
        <w:t xml:space="preserve">Graduated in 2010 from the Hellenic Military Academy and serves as commanding officer of the logistic corps. He holds an MSc in Food, Nutrition and Health, specialized in Nutrition, Public Health and Policies. In 2019 started his PhD focusing on added sugars and associated public health issues and especially, associations between fructose consumption and functional gastrointestinal diseases and obesity in Greek adults, children and adolescents. His first published work was related </w:t>
      </w:r>
      <w:r w:rsidRPr="00E7324C">
        <w:rPr>
          <w:rFonts w:ascii="Times New Roman" w:hAnsi="Times New Roman" w:cs="Times New Roman"/>
          <w:sz w:val="24"/>
          <w:szCs w:val="24"/>
        </w:rPr>
        <w:lastRenderedPageBreak/>
        <w:t xml:space="preserve">to the validation of the Food Propensity Questionnaire (FPQ) used on the Hellenic National Nutrition and Health Survey (HNNHS). He has also worked extensively with the HNNHS databases for data assembly and analysis and participated in the Front </w:t>
      </w:r>
      <w:r w:rsidR="00BC1855">
        <w:rPr>
          <w:rFonts w:ascii="Times New Roman" w:hAnsi="Times New Roman" w:cs="Times New Roman"/>
          <w:sz w:val="24"/>
          <w:szCs w:val="24"/>
        </w:rPr>
        <w:t>o</w:t>
      </w:r>
      <w:r w:rsidRPr="00E7324C">
        <w:rPr>
          <w:rFonts w:ascii="Times New Roman" w:hAnsi="Times New Roman" w:cs="Times New Roman"/>
          <w:sz w:val="24"/>
          <w:szCs w:val="24"/>
        </w:rPr>
        <w:t>f Package Nutrition Labelling (FOPNL) survey conducted by the Hellenic Food Authority and the Agricultural University of Athens/Department of Food Science and Human Nutrition. He is a fluent English speaker, with very good knowledge of French and Italian languages.</w:t>
      </w:r>
    </w:p>
    <w:p w14:paraId="7BFD7533" w14:textId="77777777" w:rsidR="00AE3E37" w:rsidRPr="00E7324C" w:rsidRDefault="00AE3E37">
      <w:pPr>
        <w:pStyle w:val="BodyText"/>
        <w:rPr>
          <w:rFonts w:ascii="Times New Roman" w:hAnsi="Times New Roman" w:cs="Times New Roman"/>
          <w:sz w:val="24"/>
          <w:szCs w:val="24"/>
        </w:rPr>
      </w:pPr>
    </w:p>
    <w:p w14:paraId="726E236D" w14:textId="77777777" w:rsidR="00AE3E37" w:rsidRPr="00E7324C" w:rsidRDefault="00AE3E37" w:rsidP="00475D20">
      <w:pPr>
        <w:jc w:val="both"/>
        <w:rPr>
          <w:rFonts w:ascii="Times New Roman" w:hAnsi="Times New Roman" w:cs="Times New Roman"/>
          <w:sz w:val="24"/>
          <w:szCs w:val="24"/>
        </w:rPr>
      </w:pPr>
    </w:p>
    <w:sectPr w:rsidR="00AE3E37" w:rsidRPr="00E7324C" w:rsidSect="00E7324C">
      <w:foot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80711" w14:textId="77777777" w:rsidR="00197A11" w:rsidRDefault="00197A11">
      <w:r>
        <w:separator/>
      </w:r>
    </w:p>
  </w:endnote>
  <w:endnote w:type="continuationSeparator" w:id="0">
    <w:p w14:paraId="46F7AD77" w14:textId="77777777" w:rsidR="00197A11" w:rsidRDefault="00197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1B27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67E8D98" wp14:editId="000AD5A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9525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1E84C5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7E8D98"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2249525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1E84C5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AB2AAC0" wp14:editId="734D6E1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27D33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1DF67D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B2AAC0"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6B27D33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1DF67D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C85C790" wp14:editId="3345E3B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CF730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27D18E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85C790"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75CF730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27D18E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AED5B" w14:textId="77777777" w:rsidR="00197A11" w:rsidRDefault="00197A11">
      <w:r>
        <w:separator/>
      </w:r>
    </w:p>
  </w:footnote>
  <w:footnote w:type="continuationSeparator" w:id="0">
    <w:p w14:paraId="6E76759B" w14:textId="77777777" w:rsidR="00197A11" w:rsidRDefault="00197A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1F051DF"/>
    <w:multiLevelType w:val="hybridMultilevel"/>
    <w:tmpl w:val="40D23CE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660429503">
    <w:abstractNumId w:val="0"/>
  </w:num>
  <w:num w:numId="2" w16cid:durableId="215165447">
    <w:abstractNumId w:val="2"/>
  </w:num>
  <w:num w:numId="3" w16cid:durableId="1373118760">
    <w:abstractNumId w:val="0"/>
    <w:lvlOverride w:ilvl="0">
      <w:startOverride w:val="1"/>
    </w:lvlOverride>
    <w:lvlOverride w:ilvl="1"/>
    <w:lvlOverride w:ilvl="2"/>
    <w:lvlOverride w:ilvl="3"/>
    <w:lvlOverride w:ilvl="4"/>
    <w:lvlOverride w:ilvl="5"/>
    <w:lvlOverride w:ilvl="6"/>
    <w:lvlOverride w:ilvl="7"/>
    <w:lvlOverride w:ilvl="8"/>
  </w:num>
  <w:num w:numId="4" w16cid:durableId="139157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15513F"/>
    <w:rsid w:val="00197A11"/>
    <w:rsid w:val="00292ED9"/>
    <w:rsid w:val="002A799F"/>
    <w:rsid w:val="002E2518"/>
    <w:rsid w:val="00351D9B"/>
    <w:rsid w:val="00365A42"/>
    <w:rsid w:val="00380299"/>
    <w:rsid w:val="00404E5B"/>
    <w:rsid w:val="00414F7B"/>
    <w:rsid w:val="004355DC"/>
    <w:rsid w:val="004749B4"/>
    <w:rsid w:val="00475D20"/>
    <w:rsid w:val="00494130"/>
    <w:rsid w:val="004F3523"/>
    <w:rsid w:val="00590D60"/>
    <w:rsid w:val="005973B9"/>
    <w:rsid w:val="005B3A56"/>
    <w:rsid w:val="006060CE"/>
    <w:rsid w:val="0061505C"/>
    <w:rsid w:val="00620859"/>
    <w:rsid w:val="0063497F"/>
    <w:rsid w:val="006B1F78"/>
    <w:rsid w:val="00714354"/>
    <w:rsid w:val="00801A5D"/>
    <w:rsid w:val="008732BC"/>
    <w:rsid w:val="00873DF0"/>
    <w:rsid w:val="008756E6"/>
    <w:rsid w:val="00897EC5"/>
    <w:rsid w:val="008A0763"/>
    <w:rsid w:val="008E5477"/>
    <w:rsid w:val="00971136"/>
    <w:rsid w:val="009B2D44"/>
    <w:rsid w:val="00A07E82"/>
    <w:rsid w:val="00A52075"/>
    <w:rsid w:val="00A9710C"/>
    <w:rsid w:val="00AE3E37"/>
    <w:rsid w:val="00B21A57"/>
    <w:rsid w:val="00BC0A24"/>
    <w:rsid w:val="00BC1855"/>
    <w:rsid w:val="00BE6743"/>
    <w:rsid w:val="00C203C0"/>
    <w:rsid w:val="00C22878"/>
    <w:rsid w:val="00C33602"/>
    <w:rsid w:val="00C56C74"/>
    <w:rsid w:val="00C8371D"/>
    <w:rsid w:val="00CD6F55"/>
    <w:rsid w:val="00DC5B45"/>
    <w:rsid w:val="00DE3104"/>
    <w:rsid w:val="00DE6170"/>
    <w:rsid w:val="00E30AAC"/>
    <w:rsid w:val="00E7324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5028B2"/>
  <w15:docId w15:val="{339B43FE-3E43-4823-A389-8D0120075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2A7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686</Words>
  <Characters>3913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Marine Biology</cp:lastModifiedBy>
  <cp:revision>6</cp:revision>
  <dcterms:created xsi:type="dcterms:W3CDTF">2022-10-31T19:09:00Z</dcterms:created>
  <dcterms:modified xsi:type="dcterms:W3CDTF">2022-11-03T05:58:00Z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