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803861" w14:textId="07FBD70A" w:rsidR="00AE3E37" w:rsidRDefault="00554B73" w:rsidP="000534A1">
      <w:pPr>
        <w:pStyle w:val="Heading1"/>
        <w:spacing w:before="170"/>
        <w:ind w:left="0"/>
        <w:jc w:val="both"/>
      </w:pPr>
      <w:r>
        <w:rPr>
          <w:color w:val="337AB7"/>
        </w:rPr>
        <w:t>Early Detection of Delayed Apoptosis</w:t>
      </w:r>
      <w:r w:rsidR="00C73878">
        <w:rPr>
          <w:color w:val="337AB7"/>
        </w:rPr>
        <w:t xml:space="preserve"> following Cry</w:t>
      </w:r>
      <w:r w:rsidR="00B6425A">
        <w:rPr>
          <w:color w:val="337AB7"/>
        </w:rPr>
        <w:t xml:space="preserve">opreservation </w:t>
      </w:r>
      <w:r w:rsidR="00634AF9">
        <w:rPr>
          <w:color w:val="337AB7"/>
        </w:rPr>
        <w:t xml:space="preserve">of MSCs </w:t>
      </w:r>
      <w:r w:rsidR="00834BEE">
        <w:rPr>
          <w:color w:val="337AB7"/>
        </w:rPr>
        <w:t>using Mass Spectrometry</w:t>
      </w:r>
    </w:p>
    <w:p w14:paraId="29D50E71" w14:textId="77777777" w:rsidR="005D7185" w:rsidRDefault="00834BE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J</w:t>
      </w:r>
      <w:r w:rsidR="007C6091">
        <w:rPr>
          <w:rFonts w:ascii="Arial"/>
        </w:rPr>
        <w:t>oglekar</w:t>
      </w:r>
      <w:r w:rsidR="005973B9">
        <w:rPr>
          <w:rFonts w:ascii="Arial"/>
        </w:rPr>
        <w:t>, N</w:t>
      </w:r>
      <w:r w:rsidR="00EE79C5">
        <w:rPr>
          <w:rFonts w:ascii="Arial"/>
        </w:rPr>
        <w:t>.</w:t>
      </w:r>
      <w:r w:rsidR="005973B9">
        <w:rPr>
          <w:rFonts w:ascii="Arial"/>
        </w:rPr>
        <w:t xml:space="preserve">, </w:t>
      </w:r>
      <w:r w:rsidR="00DF4898">
        <w:rPr>
          <w:rFonts w:ascii="Arial"/>
        </w:rPr>
        <w:t>Loughborough University</w:t>
      </w:r>
      <w:r w:rsidR="005973B9">
        <w:rPr>
          <w:rFonts w:ascii="Arial"/>
        </w:rPr>
        <w:t>, U</w:t>
      </w:r>
      <w:r w:rsidR="00D0008C">
        <w:rPr>
          <w:rFonts w:ascii="Arial"/>
        </w:rPr>
        <w:t>K</w:t>
      </w:r>
      <w:r w:rsidR="006138F7">
        <w:rPr>
          <w:rFonts w:ascii="Arial"/>
        </w:rPr>
        <w:t xml:space="preserve">; </w:t>
      </w:r>
    </w:p>
    <w:p w14:paraId="4AA7BC04" w14:textId="77777777" w:rsidR="003F0F51" w:rsidRDefault="00C46F0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Coopman</w:t>
      </w:r>
      <w:r w:rsidR="00FA7203">
        <w:rPr>
          <w:rFonts w:ascii="Arial"/>
        </w:rPr>
        <w:t>, K.</w:t>
      </w:r>
      <w:r w:rsidR="008D777A">
        <w:rPr>
          <w:rFonts w:ascii="Arial"/>
        </w:rPr>
        <w:t>,</w:t>
      </w:r>
      <w:r w:rsidR="00FA6CD1">
        <w:rPr>
          <w:rFonts w:ascii="Arial"/>
        </w:rPr>
        <w:t xml:space="preserve"> Loughborough University, UK</w:t>
      </w:r>
      <w:r w:rsidR="00EB780C">
        <w:rPr>
          <w:rFonts w:ascii="Arial"/>
        </w:rPr>
        <w:t xml:space="preserve">; </w:t>
      </w:r>
    </w:p>
    <w:p w14:paraId="6817E7F2" w14:textId="77777777" w:rsidR="003F0F51" w:rsidRDefault="009F79B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Ratcliffe</w:t>
      </w:r>
      <w:r w:rsidR="0071145F">
        <w:rPr>
          <w:rFonts w:ascii="Arial"/>
        </w:rPr>
        <w:t>, E.</w:t>
      </w:r>
      <w:r w:rsidR="00942687">
        <w:rPr>
          <w:rFonts w:ascii="Arial"/>
        </w:rPr>
        <w:t>, Loughborough University, UK;</w:t>
      </w:r>
      <w:r w:rsidR="00545BDB">
        <w:rPr>
          <w:rFonts w:ascii="Arial"/>
        </w:rPr>
        <w:t xml:space="preserve"> </w:t>
      </w:r>
    </w:p>
    <w:p w14:paraId="2CFFB010" w14:textId="53E73638" w:rsidR="005973B9" w:rsidRDefault="00545BD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Turner</w:t>
      </w:r>
      <w:r w:rsidR="001B0882">
        <w:rPr>
          <w:rFonts w:ascii="Arial"/>
        </w:rPr>
        <w:t>, M</w:t>
      </w:r>
      <w:r w:rsidR="00E27A24">
        <w:rPr>
          <w:rFonts w:ascii="Arial"/>
        </w:rPr>
        <w:t>.</w:t>
      </w:r>
      <w:r w:rsidR="00E30C6F">
        <w:rPr>
          <w:rFonts w:ascii="Arial"/>
        </w:rPr>
        <w:t>, Loughborough University, UK</w:t>
      </w:r>
    </w:p>
    <w:p w14:paraId="681232F2" w14:textId="1CCA9CF1" w:rsidR="00AE3E37" w:rsidRDefault="00AE3E37">
      <w:pPr>
        <w:pStyle w:val="BodyText"/>
        <w:rPr>
          <w:rFonts w:ascii="Arial"/>
          <w:sz w:val="20"/>
        </w:rPr>
      </w:pPr>
    </w:p>
    <w:p w14:paraId="1D3965A7" w14:textId="77777777" w:rsidR="00AE3E37" w:rsidRDefault="00AE3E37">
      <w:pPr>
        <w:rPr>
          <w:rFonts w:ascii="Arial"/>
          <w:sz w:val="21"/>
        </w:rPr>
        <w:sectPr w:rsidR="00AE3E37" w:rsidSect="001403CA">
          <w:footerReference w:type="default" r:id="rId8"/>
          <w:type w:val="continuous"/>
          <w:pgSz w:w="11910" w:h="16840"/>
          <w:pgMar w:top="426" w:right="600" w:bottom="840" w:left="620" w:header="0" w:footer="0" w:gutter="0"/>
          <w:cols w:space="720"/>
          <w:docGrid w:linePitch="299"/>
        </w:sectPr>
      </w:pPr>
    </w:p>
    <w:p w14:paraId="3DFD752F" w14:textId="53BD7080" w:rsidR="00AE3E37" w:rsidRDefault="00AC012F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 xml:space="preserve"> </w:t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240578D8" w14:textId="77777777" w:rsidR="00AC012F" w:rsidRPr="00F11861" w:rsidRDefault="00AC012F">
      <w:pPr>
        <w:pStyle w:val="Heading3"/>
        <w:spacing w:before="147"/>
        <w:jc w:val="both"/>
        <w:rPr>
          <w:sz w:val="2"/>
          <w:szCs w:val="2"/>
        </w:rPr>
      </w:pPr>
    </w:p>
    <w:p w14:paraId="3F856AC9" w14:textId="7CF0FEFC" w:rsidR="00AE3E37" w:rsidRDefault="00A9710C" w:rsidP="00AC012F">
      <w:pPr>
        <w:spacing w:line="276" w:lineRule="auto"/>
        <w:ind w:left="142"/>
        <w:jc w:val="both"/>
      </w:pPr>
      <w:r w:rsidRPr="00624750">
        <w:rPr>
          <w:b/>
          <w:bCs/>
        </w:rPr>
        <w:t>Statement of the Problem:</w:t>
      </w:r>
      <w:r>
        <w:t xml:space="preserve"> </w:t>
      </w:r>
      <w:r w:rsidR="001406A4" w:rsidRPr="00AC012F">
        <w:rPr>
          <w:sz w:val="18"/>
          <w:szCs w:val="18"/>
          <w:lang w:eastAsia="en-GB"/>
        </w:rPr>
        <w:t>There is currently a growing interest in the use of Mesenchymal Stem Cells (MSCs) in the development of cell therapies for the treatment of many common conditions. However, during</w:t>
      </w:r>
      <w:r w:rsidR="001406A4" w:rsidRPr="00AC012F">
        <w:rPr>
          <w:sz w:val="18"/>
          <w:szCs w:val="18"/>
          <w:shd w:val="clear" w:color="auto" w:fill="FFFFFF"/>
        </w:rPr>
        <w:t xml:space="preserve"> manufacturing, </w:t>
      </w:r>
      <w:r w:rsidR="001406A4" w:rsidRPr="00AC012F">
        <w:rPr>
          <w:sz w:val="18"/>
          <w:szCs w:val="18"/>
          <w:lang w:eastAsia="en-GB"/>
        </w:rPr>
        <w:t xml:space="preserve">apoptosis can lead to a loss of function following cryopreservation and </w:t>
      </w:r>
      <w:r w:rsidR="001406A4" w:rsidRPr="00AC012F">
        <w:rPr>
          <w:sz w:val="18"/>
          <w:szCs w:val="18"/>
          <w:shd w:val="clear" w:color="auto" w:fill="FFFFFF"/>
        </w:rPr>
        <w:t xml:space="preserve">remains an area of concern. </w:t>
      </w:r>
      <w:r w:rsidR="001406A4" w:rsidRPr="00AC012F">
        <w:rPr>
          <w:sz w:val="18"/>
          <w:szCs w:val="18"/>
        </w:rPr>
        <w:t>Delayed apoptosis in which cells that appear viable immediately post-thaw undergo apoptosis in a delayed manner is a particular challenge</w:t>
      </w:r>
      <w:r w:rsidR="00417945">
        <w:rPr>
          <w:sz w:val="18"/>
          <w:szCs w:val="18"/>
        </w:rPr>
        <w:t>,</w:t>
      </w:r>
      <w:r w:rsidR="001406A4" w:rsidRPr="00AC012F">
        <w:rPr>
          <w:sz w:val="18"/>
          <w:szCs w:val="18"/>
        </w:rPr>
        <w:t xml:space="preserve"> with no rapid method to identify such cell populations at an early stage.</w:t>
      </w:r>
      <w:r w:rsidR="00B84ACC" w:rsidRPr="00AC012F">
        <w:rPr>
          <w:sz w:val="18"/>
          <w:szCs w:val="18"/>
        </w:rPr>
        <w:t xml:space="preserve"> </w:t>
      </w:r>
      <w:r w:rsidRPr="00AC012F">
        <w:rPr>
          <w:sz w:val="18"/>
          <w:szCs w:val="18"/>
        </w:rPr>
        <w:t xml:space="preserve">The </w:t>
      </w:r>
      <w:r w:rsidR="009A1C84" w:rsidRPr="00AC012F">
        <w:rPr>
          <w:sz w:val="18"/>
          <w:szCs w:val="18"/>
        </w:rPr>
        <w:t>aim</w:t>
      </w:r>
      <w:r w:rsidRPr="00AC012F">
        <w:rPr>
          <w:sz w:val="18"/>
          <w:szCs w:val="18"/>
        </w:rPr>
        <w:t xml:space="preserve"> of this </w:t>
      </w:r>
      <w:r w:rsidR="009A1C84" w:rsidRPr="00AC012F">
        <w:rPr>
          <w:sz w:val="18"/>
          <w:szCs w:val="18"/>
        </w:rPr>
        <w:t>work</w:t>
      </w:r>
      <w:r w:rsidRPr="00AC012F">
        <w:rPr>
          <w:sz w:val="18"/>
          <w:szCs w:val="18"/>
        </w:rPr>
        <w:t xml:space="preserve"> is to</w:t>
      </w:r>
      <w:r w:rsidR="00404E5B" w:rsidRPr="00AC012F">
        <w:rPr>
          <w:sz w:val="18"/>
          <w:szCs w:val="18"/>
        </w:rPr>
        <w:t xml:space="preserve"> </w:t>
      </w:r>
      <w:r w:rsidR="00B84ACC" w:rsidRPr="00AC012F">
        <w:rPr>
          <w:sz w:val="18"/>
          <w:szCs w:val="18"/>
        </w:rPr>
        <w:t xml:space="preserve">develop a rapid </w:t>
      </w:r>
      <w:r w:rsidR="00DE1161" w:rsidRPr="00AC012F">
        <w:rPr>
          <w:sz w:val="18"/>
          <w:szCs w:val="18"/>
        </w:rPr>
        <w:t>method</w:t>
      </w:r>
      <w:r w:rsidR="00461102" w:rsidRPr="00AC012F">
        <w:rPr>
          <w:sz w:val="18"/>
          <w:szCs w:val="18"/>
        </w:rPr>
        <w:t xml:space="preserve">, using metabolomics, to detect </w:t>
      </w:r>
      <w:r w:rsidR="00541DA7" w:rsidRPr="00AC012F">
        <w:rPr>
          <w:sz w:val="18"/>
          <w:szCs w:val="18"/>
        </w:rPr>
        <w:t xml:space="preserve">biomarkers, post-thaw, that could indicate cells </w:t>
      </w:r>
      <w:r w:rsidR="009A1C84" w:rsidRPr="00AC012F">
        <w:rPr>
          <w:sz w:val="18"/>
          <w:szCs w:val="18"/>
        </w:rPr>
        <w:t>undergoing apoptosis.</w:t>
      </w:r>
      <w:r w:rsidRPr="00AC012F">
        <w:rPr>
          <w:sz w:val="18"/>
          <w:szCs w:val="18"/>
        </w:rPr>
        <w:t xml:space="preserve"> Methodolog</w:t>
      </w:r>
      <w:r w:rsidR="008756E6" w:rsidRPr="00AC012F">
        <w:rPr>
          <w:sz w:val="18"/>
          <w:szCs w:val="18"/>
        </w:rPr>
        <w:t xml:space="preserve">y &amp; Theoretical Orientation: </w:t>
      </w:r>
      <w:r w:rsidR="00D162AD" w:rsidRPr="00AC012F">
        <w:rPr>
          <w:sz w:val="18"/>
          <w:szCs w:val="18"/>
          <w:lang w:val="en-GB"/>
        </w:rPr>
        <w:t xml:space="preserve">Initially, cells were cryopreserved using different freezing procedures expected to have varying impacts on the cells post-thaw (PT). </w:t>
      </w:r>
      <w:r w:rsidR="005010F6">
        <w:rPr>
          <w:sz w:val="18"/>
          <w:szCs w:val="18"/>
          <w:lang w:val="en-GB"/>
        </w:rPr>
        <w:t>These included changing the amount of DMSO concentration and</w:t>
      </w:r>
      <w:r w:rsidR="00E82241">
        <w:rPr>
          <w:sz w:val="18"/>
          <w:szCs w:val="18"/>
          <w:lang w:val="en-GB"/>
        </w:rPr>
        <w:t xml:space="preserve"> </w:t>
      </w:r>
      <w:r w:rsidR="00873C1D">
        <w:rPr>
          <w:sz w:val="18"/>
          <w:szCs w:val="18"/>
          <w:lang w:val="en-GB"/>
        </w:rPr>
        <w:t>freezing rate</w:t>
      </w:r>
      <w:r w:rsidR="00EE574A">
        <w:rPr>
          <w:sz w:val="18"/>
          <w:szCs w:val="18"/>
          <w:lang w:val="en-GB"/>
        </w:rPr>
        <w:t>.</w:t>
      </w:r>
      <w:r w:rsidR="00D162AD" w:rsidRPr="00AC012F">
        <w:rPr>
          <w:sz w:val="18"/>
          <w:szCs w:val="18"/>
          <w:lang w:val="en-GB"/>
        </w:rPr>
        <w:t xml:space="preserve"> The proliferation </w:t>
      </w:r>
      <w:r w:rsidR="005873D6" w:rsidRPr="00AC012F">
        <w:rPr>
          <w:sz w:val="18"/>
          <w:szCs w:val="18"/>
          <w:lang w:val="en-GB"/>
        </w:rPr>
        <w:t xml:space="preserve">and viability </w:t>
      </w:r>
      <w:r w:rsidR="00D162AD" w:rsidRPr="00AC012F">
        <w:rPr>
          <w:sz w:val="18"/>
          <w:szCs w:val="18"/>
          <w:lang w:val="en-GB"/>
        </w:rPr>
        <w:t>of the cells, PT, across five days was then investigated</w:t>
      </w:r>
      <w:r w:rsidR="000B5EB3" w:rsidRPr="00AC012F">
        <w:rPr>
          <w:sz w:val="18"/>
          <w:szCs w:val="18"/>
          <w:lang w:val="en-GB"/>
        </w:rPr>
        <w:t xml:space="preserve">, </w:t>
      </w:r>
      <w:r w:rsidR="00341D05">
        <w:rPr>
          <w:sz w:val="18"/>
          <w:szCs w:val="18"/>
          <w:lang w:val="en-GB"/>
        </w:rPr>
        <w:t xml:space="preserve">along with the immunomodulatory </w:t>
      </w:r>
      <w:r w:rsidR="007329C5">
        <w:rPr>
          <w:sz w:val="18"/>
          <w:szCs w:val="18"/>
          <w:lang w:val="en-GB"/>
        </w:rPr>
        <w:t>properties</w:t>
      </w:r>
      <w:r w:rsidR="00854359" w:rsidRPr="00AC012F">
        <w:rPr>
          <w:sz w:val="18"/>
          <w:szCs w:val="18"/>
          <w:lang w:val="en-GB"/>
        </w:rPr>
        <w:t xml:space="preserve"> of MSCs</w:t>
      </w:r>
      <w:r w:rsidR="007329C5">
        <w:rPr>
          <w:sz w:val="18"/>
          <w:szCs w:val="18"/>
          <w:lang w:val="en-GB"/>
        </w:rPr>
        <w:t xml:space="preserve"> PT</w:t>
      </w:r>
      <w:r w:rsidR="00125C88">
        <w:rPr>
          <w:sz w:val="18"/>
          <w:szCs w:val="18"/>
          <w:lang w:val="en-GB"/>
        </w:rPr>
        <w:t>,</w:t>
      </w:r>
      <w:r w:rsidR="007329C5">
        <w:rPr>
          <w:sz w:val="18"/>
          <w:szCs w:val="18"/>
          <w:lang w:val="en-GB"/>
        </w:rPr>
        <w:t xml:space="preserve"> including the</w:t>
      </w:r>
      <w:r w:rsidR="005A0BEA">
        <w:rPr>
          <w:sz w:val="18"/>
          <w:szCs w:val="18"/>
          <w:lang w:val="en-GB"/>
        </w:rPr>
        <w:t>ir</w:t>
      </w:r>
      <w:r w:rsidR="007329C5">
        <w:rPr>
          <w:sz w:val="18"/>
          <w:szCs w:val="18"/>
          <w:lang w:val="en-GB"/>
        </w:rPr>
        <w:t xml:space="preserve"> ability</w:t>
      </w:r>
      <w:r w:rsidR="00854359" w:rsidRPr="00AC012F">
        <w:rPr>
          <w:sz w:val="18"/>
          <w:szCs w:val="18"/>
          <w:lang w:val="en-GB"/>
        </w:rPr>
        <w:t xml:space="preserve"> to reduce T cell proliferation and indu</w:t>
      </w:r>
      <w:r w:rsidR="00950030" w:rsidRPr="00AC012F">
        <w:rPr>
          <w:sz w:val="18"/>
          <w:szCs w:val="18"/>
          <w:lang w:val="en-GB"/>
        </w:rPr>
        <w:t xml:space="preserve">ce T cell differentiation into T regulatory cells (Tregs). </w:t>
      </w:r>
      <w:r w:rsidR="00A07BD7" w:rsidRPr="00AC012F">
        <w:rPr>
          <w:sz w:val="18"/>
          <w:szCs w:val="18"/>
          <w:lang w:val="en-GB"/>
        </w:rPr>
        <w:t>Liquid Chromatography</w:t>
      </w:r>
      <w:r w:rsidR="00196A6E">
        <w:rPr>
          <w:sz w:val="18"/>
          <w:szCs w:val="18"/>
          <w:lang w:val="en-GB"/>
        </w:rPr>
        <w:t xml:space="preserve"> </w:t>
      </w:r>
      <w:r w:rsidR="0047437C" w:rsidRPr="00AC012F">
        <w:rPr>
          <w:sz w:val="18"/>
          <w:szCs w:val="18"/>
          <w:lang w:val="en-GB"/>
        </w:rPr>
        <w:t>/</w:t>
      </w:r>
      <w:r w:rsidR="00196A6E">
        <w:rPr>
          <w:sz w:val="18"/>
          <w:szCs w:val="18"/>
          <w:lang w:val="en-GB"/>
        </w:rPr>
        <w:t xml:space="preserve"> </w:t>
      </w:r>
      <w:r w:rsidR="0047437C" w:rsidRPr="00AC012F">
        <w:rPr>
          <w:sz w:val="18"/>
          <w:szCs w:val="18"/>
          <w:lang w:val="en-GB"/>
        </w:rPr>
        <w:t xml:space="preserve">Mass </w:t>
      </w:r>
      <w:r w:rsidR="00FB00D0" w:rsidRPr="00AC012F">
        <w:rPr>
          <w:sz w:val="18"/>
          <w:szCs w:val="18"/>
          <w:lang w:val="en-GB"/>
        </w:rPr>
        <w:t>Spectrometry</w:t>
      </w:r>
      <w:r w:rsidR="0047437C" w:rsidRPr="00AC012F">
        <w:rPr>
          <w:sz w:val="18"/>
          <w:szCs w:val="18"/>
          <w:lang w:val="en-GB"/>
        </w:rPr>
        <w:t xml:space="preserve"> (LC/MS)</w:t>
      </w:r>
      <w:r w:rsidR="000803E9" w:rsidRPr="00AC012F">
        <w:rPr>
          <w:sz w:val="18"/>
          <w:szCs w:val="18"/>
          <w:lang w:val="en-GB"/>
        </w:rPr>
        <w:t>, and</w:t>
      </w:r>
      <w:r w:rsidR="00CB7110" w:rsidRPr="00AC012F">
        <w:rPr>
          <w:sz w:val="18"/>
          <w:szCs w:val="18"/>
          <w:lang w:val="en-GB"/>
        </w:rPr>
        <w:t xml:space="preserve"> Gas Chromatography</w:t>
      </w:r>
      <w:r w:rsidR="00196A6E">
        <w:rPr>
          <w:sz w:val="18"/>
          <w:szCs w:val="18"/>
          <w:lang w:val="en-GB"/>
        </w:rPr>
        <w:t xml:space="preserve"> </w:t>
      </w:r>
      <w:r w:rsidR="00CB7110" w:rsidRPr="00AC012F">
        <w:rPr>
          <w:sz w:val="18"/>
          <w:szCs w:val="18"/>
          <w:lang w:val="en-GB"/>
        </w:rPr>
        <w:t>/</w:t>
      </w:r>
      <w:r w:rsidR="00196A6E">
        <w:rPr>
          <w:sz w:val="18"/>
          <w:szCs w:val="18"/>
          <w:lang w:val="en-GB"/>
        </w:rPr>
        <w:t xml:space="preserve"> </w:t>
      </w:r>
      <w:r w:rsidR="00CB7110" w:rsidRPr="00AC012F">
        <w:rPr>
          <w:sz w:val="18"/>
          <w:szCs w:val="18"/>
          <w:lang w:val="en-GB"/>
        </w:rPr>
        <w:t xml:space="preserve">Mass </w:t>
      </w:r>
      <w:r w:rsidR="00FB00D0" w:rsidRPr="00AC012F">
        <w:rPr>
          <w:sz w:val="18"/>
          <w:szCs w:val="18"/>
          <w:lang w:val="en-GB"/>
        </w:rPr>
        <w:t>Spectrometry</w:t>
      </w:r>
      <w:r w:rsidR="00CB7110" w:rsidRPr="00AC012F">
        <w:rPr>
          <w:sz w:val="18"/>
          <w:szCs w:val="18"/>
          <w:lang w:val="en-GB"/>
        </w:rPr>
        <w:t xml:space="preserve"> (LC/MS)</w:t>
      </w:r>
      <w:r w:rsidR="000803E9" w:rsidRPr="00AC012F">
        <w:rPr>
          <w:sz w:val="18"/>
          <w:szCs w:val="18"/>
          <w:lang w:val="en-GB"/>
        </w:rPr>
        <w:t xml:space="preserve"> </w:t>
      </w:r>
      <w:r w:rsidR="00CB7110" w:rsidRPr="00AC012F">
        <w:rPr>
          <w:sz w:val="18"/>
          <w:szCs w:val="18"/>
          <w:lang w:val="en-GB"/>
        </w:rPr>
        <w:t xml:space="preserve">are </w:t>
      </w:r>
      <w:r w:rsidR="00C27954" w:rsidRPr="00AC012F">
        <w:rPr>
          <w:sz w:val="18"/>
          <w:szCs w:val="18"/>
          <w:lang w:val="en-GB"/>
        </w:rPr>
        <w:t>now being used to detect apoptotic biomarkers</w:t>
      </w:r>
      <w:r w:rsidR="0011723C">
        <w:rPr>
          <w:sz w:val="18"/>
          <w:szCs w:val="18"/>
          <w:lang w:val="en-GB"/>
        </w:rPr>
        <w:t>,</w:t>
      </w:r>
      <w:r w:rsidR="00775C70">
        <w:rPr>
          <w:sz w:val="18"/>
          <w:szCs w:val="18"/>
          <w:lang w:val="en-GB"/>
        </w:rPr>
        <w:t xml:space="preserve"> PT</w:t>
      </w:r>
      <w:r w:rsidR="0011723C">
        <w:rPr>
          <w:sz w:val="18"/>
          <w:szCs w:val="18"/>
          <w:lang w:val="en-GB"/>
        </w:rPr>
        <w:t xml:space="preserve">, </w:t>
      </w:r>
      <w:r w:rsidR="00E3370A">
        <w:rPr>
          <w:sz w:val="18"/>
          <w:szCs w:val="18"/>
          <w:lang w:val="en-GB"/>
        </w:rPr>
        <w:t xml:space="preserve">that </w:t>
      </w:r>
      <w:r w:rsidR="00057A17">
        <w:rPr>
          <w:sz w:val="18"/>
          <w:szCs w:val="18"/>
          <w:lang w:val="en-GB"/>
        </w:rPr>
        <w:t>could give an indication of cells undergoing apoptosis</w:t>
      </w:r>
      <w:r w:rsidR="00E6568C" w:rsidRPr="00AC012F">
        <w:rPr>
          <w:sz w:val="18"/>
          <w:szCs w:val="18"/>
          <w:lang w:val="en-GB"/>
        </w:rPr>
        <w:t>.</w:t>
      </w:r>
      <w:r w:rsidR="00C27954" w:rsidRPr="00AC012F">
        <w:rPr>
          <w:sz w:val="18"/>
          <w:szCs w:val="18"/>
          <w:lang w:val="en-GB"/>
        </w:rPr>
        <w:t xml:space="preserve"> </w:t>
      </w:r>
      <w:r w:rsidRPr="00AC012F">
        <w:rPr>
          <w:sz w:val="18"/>
          <w:szCs w:val="18"/>
        </w:rPr>
        <w:t xml:space="preserve">Findings: </w:t>
      </w:r>
      <w:r w:rsidR="00CE25D5">
        <w:rPr>
          <w:sz w:val="18"/>
          <w:szCs w:val="18"/>
        </w:rPr>
        <w:t>Using detrimental freezing procedures showed a</w:t>
      </w:r>
      <w:r w:rsidR="00A31643">
        <w:rPr>
          <w:sz w:val="18"/>
          <w:szCs w:val="18"/>
        </w:rPr>
        <w:t xml:space="preserve"> significant decrease in</w:t>
      </w:r>
      <w:r w:rsidR="00CE25D5">
        <w:rPr>
          <w:sz w:val="18"/>
          <w:szCs w:val="18"/>
        </w:rPr>
        <w:t xml:space="preserve"> viability and</w:t>
      </w:r>
      <w:r w:rsidR="00A31643">
        <w:rPr>
          <w:sz w:val="18"/>
          <w:szCs w:val="18"/>
        </w:rPr>
        <w:t xml:space="preserve"> </w:t>
      </w:r>
      <w:r w:rsidR="007A7785">
        <w:rPr>
          <w:sz w:val="18"/>
          <w:szCs w:val="18"/>
        </w:rPr>
        <w:t xml:space="preserve">the proliferation of </w:t>
      </w:r>
      <w:r w:rsidR="00CE25D5">
        <w:rPr>
          <w:sz w:val="18"/>
          <w:szCs w:val="18"/>
        </w:rPr>
        <w:t xml:space="preserve">the </w:t>
      </w:r>
      <w:r w:rsidR="007A7785">
        <w:rPr>
          <w:sz w:val="18"/>
          <w:szCs w:val="18"/>
        </w:rPr>
        <w:t xml:space="preserve">cells </w:t>
      </w:r>
      <w:r w:rsidR="00CE25D5">
        <w:rPr>
          <w:sz w:val="18"/>
          <w:szCs w:val="18"/>
        </w:rPr>
        <w:t>PT</w:t>
      </w:r>
      <w:r w:rsidR="00235F33">
        <w:rPr>
          <w:sz w:val="18"/>
          <w:szCs w:val="18"/>
        </w:rPr>
        <w:t>. However</w:t>
      </w:r>
      <w:r w:rsidR="009960A0">
        <w:rPr>
          <w:sz w:val="18"/>
          <w:szCs w:val="18"/>
        </w:rPr>
        <w:t xml:space="preserve">, </w:t>
      </w:r>
      <w:r w:rsidR="007A6CFA">
        <w:rPr>
          <w:sz w:val="18"/>
          <w:szCs w:val="18"/>
        </w:rPr>
        <w:t xml:space="preserve">cryopreservation did not affect the </w:t>
      </w:r>
      <w:r w:rsidR="00B31BEF">
        <w:rPr>
          <w:sz w:val="18"/>
          <w:szCs w:val="18"/>
        </w:rPr>
        <w:t>immunomodulatory properties of the MSCs</w:t>
      </w:r>
      <w:r w:rsidRPr="00AC012F">
        <w:rPr>
          <w:sz w:val="18"/>
          <w:szCs w:val="18"/>
        </w:rPr>
        <w:t xml:space="preserve">. </w:t>
      </w:r>
      <w:r w:rsidR="00B410A2">
        <w:rPr>
          <w:sz w:val="18"/>
          <w:szCs w:val="18"/>
        </w:rPr>
        <w:t>Initial pre</w:t>
      </w:r>
      <w:r w:rsidR="0022265E">
        <w:rPr>
          <w:sz w:val="18"/>
          <w:szCs w:val="18"/>
        </w:rPr>
        <w:t xml:space="preserve">liminary work </w:t>
      </w:r>
      <w:r w:rsidR="00BE6F84">
        <w:rPr>
          <w:sz w:val="18"/>
          <w:szCs w:val="18"/>
        </w:rPr>
        <w:t xml:space="preserve">using GC/MS </w:t>
      </w:r>
      <w:r w:rsidR="0022265E">
        <w:rPr>
          <w:sz w:val="18"/>
          <w:szCs w:val="18"/>
        </w:rPr>
        <w:t xml:space="preserve">has shown that </w:t>
      </w:r>
      <w:r w:rsidR="00066DDA">
        <w:rPr>
          <w:sz w:val="18"/>
          <w:szCs w:val="18"/>
        </w:rPr>
        <w:t xml:space="preserve">healthy </w:t>
      </w:r>
      <w:r w:rsidR="001B21D3">
        <w:rPr>
          <w:sz w:val="18"/>
          <w:szCs w:val="18"/>
        </w:rPr>
        <w:t xml:space="preserve">MSCs </w:t>
      </w:r>
      <w:r w:rsidR="002666CF">
        <w:rPr>
          <w:sz w:val="18"/>
          <w:szCs w:val="18"/>
        </w:rPr>
        <w:t xml:space="preserve">reduce the </w:t>
      </w:r>
      <w:r w:rsidR="00512F19">
        <w:rPr>
          <w:sz w:val="18"/>
          <w:szCs w:val="18"/>
        </w:rPr>
        <w:t xml:space="preserve">amount of </w:t>
      </w:r>
      <w:r w:rsidR="001F31CA">
        <w:rPr>
          <w:sz w:val="18"/>
          <w:szCs w:val="18"/>
        </w:rPr>
        <w:t>a specific compound</w:t>
      </w:r>
      <w:r w:rsidR="00512F19">
        <w:rPr>
          <w:sz w:val="18"/>
          <w:szCs w:val="18"/>
        </w:rPr>
        <w:t xml:space="preserve"> in the headspace of cell</w:t>
      </w:r>
      <w:r w:rsidR="00C316D8">
        <w:rPr>
          <w:sz w:val="18"/>
          <w:szCs w:val="18"/>
        </w:rPr>
        <w:t xml:space="preserve"> cultures</w:t>
      </w:r>
      <w:r w:rsidR="00FD3C46">
        <w:rPr>
          <w:sz w:val="18"/>
          <w:szCs w:val="18"/>
        </w:rPr>
        <w:t xml:space="preserve"> over 24hrs PT.</w:t>
      </w:r>
      <w:r w:rsidR="00512F19">
        <w:rPr>
          <w:sz w:val="18"/>
          <w:szCs w:val="18"/>
        </w:rPr>
        <w:t xml:space="preserve"> </w:t>
      </w:r>
      <w:r w:rsidRPr="00AC012F">
        <w:rPr>
          <w:sz w:val="18"/>
          <w:szCs w:val="18"/>
        </w:rPr>
        <w:t>Conclusion &amp; Significance: W</w:t>
      </w:r>
      <w:r w:rsidR="001B6371">
        <w:rPr>
          <w:sz w:val="18"/>
          <w:szCs w:val="18"/>
        </w:rPr>
        <w:t>hile results are only preliminary</w:t>
      </w:r>
      <w:r w:rsidR="00ED6F27">
        <w:rPr>
          <w:sz w:val="18"/>
          <w:szCs w:val="18"/>
        </w:rPr>
        <w:t xml:space="preserve">, </w:t>
      </w:r>
      <w:r w:rsidR="000F0B27">
        <w:rPr>
          <w:sz w:val="18"/>
          <w:szCs w:val="18"/>
        </w:rPr>
        <w:t>the decrease</w:t>
      </w:r>
      <w:r w:rsidR="00DF4AC8">
        <w:rPr>
          <w:sz w:val="18"/>
          <w:szCs w:val="18"/>
        </w:rPr>
        <w:t xml:space="preserve"> in </w:t>
      </w:r>
      <w:r w:rsidR="00C37A5F">
        <w:rPr>
          <w:sz w:val="18"/>
          <w:szCs w:val="18"/>
        </w:rPr>
        <w:t>the compound</w:t>
      </w:r>
      <w:r w:rsidR="00DF4AC8">
        <w:rPr>
          <w:sz w:val="18"/>
          <w:szCs w:val="18"/>
        </w:rPr>
        <w:t xml:space="preserve">, PT, could be used as </w:t>
      </w:r>
      <w:r w:rsidR="00745A56">
        <w:rPr>
          <w:sz w:val="18"/>
          <w:szCs w:val="18"/>
        </w:rPr>
        <w:t xml:space="preserve">a biomarker </w:t>
      </w:r>
      <w:r w:rsidR="00126BCE">
        <w:rPr>
          <w:sz w:val="18"/>
          <w:szCs w:val="18"/>
        </w:rPr>
        <w:t xml:space="preserve">for </w:t>
      </w:r>
      <w:r w:rsidR="00CD7BD6">
        <w:rPr>
          <w:sz w:val="18"/>
          <w:szCs w:val="18"/>
        </w:rPr>
        <w:t>cell health</w:t>
      </w:r>
      <w:r w:rsidR="00126BCE">
        <w:rPr>
          <w:sz w:val="18"/>
          <w:szCs w:val="18"/>
        </w:rPr>
        <w:t xml:space="preserve">. This could be used </w:t>
      </w:r>
      <w:r w:rsidR="00B71BCE">
        <w:rPr>
          <w:sz w:val="18"/>
          <w:szCs w:val="18"/>
        </w:rPr>
        <w:t xml:space="preserve">as </w:t>
      </w:r>
      <w:r w:rsidR="00126BCE">
        <w:rPr>
          <w:sz w:val="18"/>
          <w:szCs w:val="18"/>
        </w:rPr>
        <w:t xml:space="preserve">a rapid quality control step </w:t>
      </w:r>
      <w:r w:rsidR="00B71BCE">
        <w:rPr>
          <w:sz w:val="18"/>
          <w:szCs w:val="18"/>
        </w:rPr>
        <w:t>during manufacturing.</w:t>
      </w:r>
    </w:p>
    <w:p w14:paraId="7C5E6B45" w14:textId="1B96BBCA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4D46367E" w14:textId="2591C3F4" w:rsidR="00AE3E37" w:rsidRDefault="0030600A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0289" behindDoc="0" locked="0" layoutInCell="1" allowOverlap="1" wp14:anchorId="64173F3B" wp14:editId="6AE1A13C">
            <wp:simplePos x="0" y="0"/>
            <wp:positionH relativeFrom="column">
              <wp:posOffset>0</wp:posOffset>
            </wp:positionH>
            <wp:positionV relativeFrom="paragraph">
              <wp:posOffset>116840</wp:posOffset>
            </wp:positionV>
            <wp:extent cx="3429000" cy="3655695"/>
            <wp:effectExtent l="0" t="0" r="0" b="1905"/>
            <wp:wrapSquare wrapText="bothSides"/>
            <wp:docPr id="12" name="Picture 12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, application, Word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87" t="20389" r="32944" b="11808"/>
                    <a:stretch/>
                  </pic:blipFill>
                  <pic:spPr bwMode="auto">
                    <a:xfrm>
                      <a:off x="0" y="0"/>
                      <a:ext cx="3429000" cy="3655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A56681" w14:textId="4C52FFA1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63D1006D" w14:textId="77777777" w:rsidR="00AE3E37" w:rsidRPr="00393A88" w:rsidRDefault="00AE3E37" w:rsidP="008756E6">
      <w:pPr>
        <w:tabs>
          <w:tab w:val="left" w:pos="384"/>
        </w:tabs>
        <w:ind w:right="117"/>
        <w:rPr>
          <w:sz w:val="10"/>
          <w:szCs w:val="10"/>
        </w:rPr>
      </w:pPr>
    </w:p>
    <w:p w14:paraId="2B6D9154" w14:textId="44C85E1E" w:rsidR="00991D10" w:rsidRPr="001D20FD" w:rsidRDefault="00991D10" w:rsidP="00E2089F">
      <w:pPr>
        <w:pStyle w:val="ListParagraph"/>
        <w:widowControl/>
        <w:numPr>
          <w:ilvl w:val="0"/>
          <w:numId w:val="4"/>
        </w:numPr>
        <w:spacing w:before="0" w:after="160" w:line="240" w:lineRule="auto"/>
        <w:ind w:left="284" w:hanging="284"/>
        <w:contextualSpacing/>
        <w:rPr>
          <w:rFonts w:ascii="Tw Cen MT" w:eastAsia="Times New Roman" w:hAnsi="Tw Cen MT" w:cstheme="minorHAnsi"/>
          <w:sz w:val="18"/>
          <w:szCs w:val="18"/>
          <w:lang w:eastAsia="en-GB"/>
        </w:rPr>
      </w:pP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eastAsia="en-GB"/>
        </w:rPr>
        <w:t>Bahsoun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eastAsia="en-GB"/>
        </w:rPr>
        <w:t xml:space="preserve">, S., Coopman, K., &amp; Akam, E. C. (2020). Quantitative assessment of the impact of cryopreservation on human bone marrow-derived mesenchymal stem cells: up to 24 h post-thaw and beyond. </w:t>
      </w:r>
      <w:r w:rsidRPr="001D20FD">
        <w:rPr>
          <w:rFonts w:ascii="Tw Cen MT" w:eastAsia="Times New Roman" w:hAnsi="Tw Cen MT" w:cstheme="minorHAnsi"/>
          <w:i/>
          <w:iCs/>
          <w:sz w:val="18"/>
          <w:szCs w:val="18"/>
          <w:lang w:eastAsia="en-GB"/>
        </w:rPr>
        <w:t>Stem Cell Research and Therapy</w:t>
      </w:r>
      <w:r w:rsidRPr="001D20FD">
        <w:rPr>
          <w:rFonts w:ascii="Tw Cen MT" w:eastAsia="Times New Roman" w:hAnsi="Tw Cen MT" w:cstheme="minorHAnsi"/>
          <w:sz w:val="18"/>
          <w:szCs w:val="18"/>
          <w:lang w:eastAsia="en-GB"/>
        </w:rPr>
        <w:t>, 11(1)</w:t>
      </w:r>
      <w:r w:rsidRPr="001D20FD">
        <w:rPr>
          <w:rFonts w:ascii="Tw Cen MT" w:hAnsi="Tw Cen MT" w:cstheme="minorHAnsi"/>
          <w:sz w:val="18"/>
          <w:szCs w:val="18"/>
        </w:rPr>
        <w:t>.</w:t>
      </w:r>
    </w:p>
    <w:p w14:paraId="5B1A5916" w14:textId="77777777" w:rsidR="00F13633" w:rsidRPr="001D20FD" w:rsidRDefault="00F13633" w:rsidP="00F13633">
      <w:pPr>
        <w:pStyle w:val="ListParagraph"/>
        <w:widowControl/>
        <w:spacing w:before="0" w:after="160" w:line="240" w:lineRule="auto"/>
        <w:ind w:left="284" w:firstLine="0"/>
        <w:contextualSpacing/>
        <w:rPr>
          <w:rFonts w:ascii="Tw Cen MT" w:eastAsia="Times New Roman" w:hAnsi="Tw Cen MT" w:cstheme="minorHAnsi"/>
          <w:sz w:val="6"/>
          <w:szCs w:val="6"/>
          <w:lang w:eastAsia="en-GB"/>
        </w:rPr>
      </w:pPr>
    </w:p>
    <w:p w14:paraId="2F626842" w14:textId="58BAB067" w:rsidR="00726725" w:rsidRPr="001D20FD" w:rsidRDefault="00726725" w:rsidP="00726725">
      <w:pPr>
        <w:pStyle w:val="ListParagraph"/>
        <w:widowControl/>
        <w:numPr>
          <w:ilvl w:val="0"/>
          <w:numId w:val="4"/>
        </w:numPr>
        <w:ind w:left="284" w:hanging="284"/>
        <w:rPr>
          <w:rFonts w:ascii="Tw Cen MT" w:eastAsia="Times New Roman" w:hAnsi="Tw Cen MT" w:cstheme="minorHAnsi"/>
          <w:sz w:val="18"/>
          <w:szCs w:val="18"/>
          <w:lang w:val="en-GB" w:eastAsia="en-GB"/>
        </w:rPr>
      </w:pP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Ock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, S. A., &amp; Rho, G. J. (2011). Effect of dimethyl sulfoxide (DMSO) on cryopreservation of porcine mesenchymal stem cells (</w:t>
      </w: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pMSCS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). </w:t>
      </w:r>
      <w:r w:rsidRPr="001D20FD">
        <w:rPr>
          <w:rFonts w:ascii="Tw Cen MT" w:eastAsia="Times New Roman" w:hAnsi="Tw Cen MT" w:cstheme="minorHAnsi"/>
          <w:i/>
          <w:iCs/>
          <w:sz w:val="18"/>
          <w:szCs w:val="18"/>
          <w:lang w:val="en-GB" w:eastAsia="en-GB"/>
        </w:rPr>
        <w:t>Cell Transplantation</w:t>
      </w:r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, 20(8). </w:t>
      </w:r>
    </w:p>
    <w:p w14:paraId="77D06BB3" w14:textId="73836DCB" w:rsidR="00D054CA" w:rsidRPr="001D20FD" w:rsidRDefault="00D054CA" w:rsidP="00D054CA">
      <w:pPr>
        <w:pStyle w:val="ListParagraph"/>
        <w:widowControl/>
        <w:numPr>
          <w:ilvl w:val="0"/>
          <w:numId w:val="4"/>
        </w:numPr>
        <w:ind w:left="284" w:hanging="284"/>
        <w:rPr>
          <w:rFonts w:ascii="Tw Cen MT" w:eastAsia="Times New Roman" w:hAnsi="Tw Cen MT" w:cstheme="minorHAnsi"/>
          <w:sz w:val="18"/>
          <w:szCs w:val="18"/>
          <w:lang w:val="en-GB" w:eastAsia="en-GB"/>
        </w:rPr>
      </w:pPr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Bischoff, A. C., </w:t>
      </w: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Oertel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, P., </w:t>
      </w: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Sukul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, P., </w:t>
      </w: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Rimmbach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, C., David, R., Schubert, J., &amp; </w:t>
      </w: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Miekisch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, W. (2018). Smell of cells: Volatile profiling of stem- and non-stem cell proliferation. </w:t>
      </w:r>
      <w:r w:rsidRPr="001D20FD">
        <w:rPr>
          <w:rFonts w:ascii="Tw Cen MT" w:eastAsia="Times New Roman" w:hAnsi="Tw Cen MT" w:cstheme="minorHAnsi"/>
          <w:i/>
          <w:iCs/>
          <w:sz w:val="18"/>
          <w:szCs w:val="18"/>
          <w:lang w:val="en-GB" w:eastAsia="en-GB"/>
        </w:rPr>
        <w:t>Journal of Breath Research</w:t>
      </w:r>
      <w:r w:rsidR="003E0669"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, 12(2)</w:t>
      </w:r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. </w:t>
      </w:r>
    </w:p>
    <w:p w14:paraId="683465C0" w14:textId="3DC6FA9D" w:rsidR="00636210" w:rsidRPr="001D20FD" w:rsidRDefault="00636210" w:rsidP="00636210">
      <w:pPr>
        <w:pStyle w:val="ListParagraph"/>
        <w:widowControl/>
        <w:numPr>
          <w:ilvl w:val="0"/>
          <w:numId w:val="4"/>
        </w:numPr>
        <w:ind w:left="284" w:hanging="284"/>
        <w:rPr>
          <w:rFonts w:ascii="Tw Cen MT" w:eastAsia="Times New Roman" w:hAnsi="Tw Cen MT" w:cstheme="minorHAnsi"/>
          <w:sz w:val="18"/>
          <w:szCs w:val="18"/>
          <w:lang w:val="en-GB" w:eastAsia="en-GB"/>
        </w:rPr>
      </w:pP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Pyo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, J. S., Ju, H. K., Park, J. H., &amp; Kwon, S. W. (2008). Determination of volatile biomarkers for apoptosis and necrosis by solid-phase microextraction-gas chromatography/mass spectrometry: A pharmacometabolomic approach to cisplatin’s cytotoxicity to human lung cancer cell lines. </w:t>
      </w:r>
      <w:r w:rsidRPr="001D20FD">
        <w:rPr>
          <w:rFonts w:ascii="Tw Cen MT" w:eastAsia="Times New Roman" w:hAnsi="Tw Cen MT" w:cstheme="minorHAnsi"/>
          <w:i/>
          <w:iCs/>
          <w:sz w:val="18"/>
          <w:szCs w:val="18"/>
          <w:lang w:val="en-GB" w:eastAsia="en-GB"/>
        </w:rPr>
        <w:t>Journal of Chromatography B: Analytical Technologies in the Biomedical and Life Sciences</w:t>
      </w:r>
      <w:r w:rsidR="005E6595"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, 876(2)</w:t>
      </w:r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. </w:t>
      </w:r>
    </w:p>
    <w:p w14:paraId="2FE0A8DB" w14:textId="77777777" w:rsidR="00F13633" w:rsidRPr="001D20FD" w:rsidRDefault="00F13633" w:rsidP="00F13633">
      <w:pPr>
        <w:pStyle w:val="ListParagraph"/>
        <w:widowControl/>
        <w:spacing w:before="0" w:after="160" w:line="240" w:lineRule="auto"/>
        <w:ind w:left="284" w:firstLine="0"/>
        <w:contextualSpacing/>
        <w:rPr>
          <w:rFonts w:ascii="Tw Cen MT" w:eastAsia="Times New Roman" w:hAnsi="Tw Cen MT" w:cstheme="minorHAnsi"/>
          <w:sz w:val="6"/>
          <w:szCs w:val="6"/>
          <w:lang w:val="en-GB" w:eastAsia="en-GB"/>
        </w:rPr>
      </w:pPr>
    </w:p>
    <w:p w14:paraId="1305A0E7" w14:textId="62EF5A62" w:rsidR="00C14C57" w:rsidRDefault="00C14C57">
      <w:pPr>
        <w:pStyle w:val="ListParagraph"/>
        <w:widowControl/>
        <w:numPr>
          <w:ilvl w:val="0"/>
          <w:numId w:val="4"/>
        </w:numPr>
        <w:spacing w:before="0" w:after="160" w:line="240" w:lineRule="auto"/>
        <w:ind w:left="284" w:hanging="284"/>
        <w:contextualSpacing/>
        <w:rPr>
          <w:rFonts w:ascii="Tw Cen MT" w:eastAsia="Times New Roman" w:hAnsi="Tw Cen MT" w:cstheme="minorHAnsi"/>
          <w:sz w:val="18"/>
          <w:szCs w:val="18"/>
          <w:lang w:val="en-GB" w:eastAsia="en-GB"/>
        </w:rPr>
      </w:pP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Filipiak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, W., </w:t>
      </w: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Mochalski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, P., </w:t>
      </w: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Filipiak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, A., Ager, C., </w:t>
      </w: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Cumeras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, R., E. Davis, C., </w:t>
      </w: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Agapiou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, A., </w:t>
      </w: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Unterkofler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, K., &amp; </w:t>
      </w:r>
      <w:proofErr w:type="spellStart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Troppmair</w:t>
      </w:r>
      <w:proofErr w:type="spellEnd"/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, J. (2016). A Compendium of Volatile Organic Compounds (VOCs) Released By Human Cell Lines. </w:t>
      </w:r>
      <w:r w:rsidRPr="001D20FD">
        <w:rPr>
          <w:rFonts w:ascii="Tw Cen MT" w:eastAsia="Times New Roman" w:hAnsi="Tw Cen MT" w:cstheme="minorHAnsi"/>
          <w:i/>
          <w:iCs/>
          <w:sz w:val="18"/>
          <w:szCs w:val="18"/>
          <w:lang w:val="en-GB" w:eastAsia="en-GB"/>
        </w:rPr>
        <w:t>Current Medicinal Chemistry</w:t>
      </w:r>
      <w:r w:rsidR="00042186"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>, 23(20)</w:t>
      </w:r>
      <w:r w:rsidRPr="001D20FD">
        <w:rPr>
          <w:rFonts w:ascii="Tw Cen MT" w:eastAsia="Times New Roman" w:hAnsi="Tw Cen MT" w:cstheme="minorHAnsi"/>
          <w:sz w:val="18"/>
          <w:szCs w:val="18"/>
          <w:lang w:val="en-GB" w:eastAsia="en-GB"/>
        </w:rPr>
        <w:t xml:space="preserve">. </w:t>
      </w:r>
    </w:p>
    <w:p w14:paraId="6F10239B" w14:textId="77777777" w:rsidR="003F0F51" w:rsidRPr="003F0F51" w:rsidRDefault="003F0F51" w:rsidP="003F0F51">
      <w:pPr>
        <w:pStyle w:val="ListParagraph"/>
        <w:rPr>
          <w:rFonts w:ascii="Tw Cen MT" w:eastAsia="Times New Roman" w:hAnsi="Tw Cen MT" w:cstheme="minorHAnsi"/>
          <w:sz w:val="18"/>
          <w:szCs w:val="18"/>
          <w:lang w:val="en-GB" w:eastAsia="en-GB"/>
        </w:rPr>
      </w:pPr>
    </w:p>
    <w:p w14:paraId="248DADC9" w14:textId="77777777" w:rsidR="00AE3E37" w:rsidRDefault="00AE3E37">
      <w:pPr>
        <w:spacing w:line="200" w:lineRule="exact"/>
        <w:jc w:val="both"/>
        <w:rPr>
          <w:rFonts w:ascii="Calibri" w:hAnsi="Calibri"/>
        </w:rPr>
      </w:pPr>
    </w:p>
    <w:p w14:paraId="640A404B" w14:textId="796EA3C5" w:rsidR="00CC370F" w:rsidRPr="003F0F51" w:rsidRDefault="00CC370F">
      <w:pPr>
        <w:spacing w:line="200" w:lineRule="exact"/>
        <w:jc w:val="both"/>
        <w:rPr>
          <w:rFonts w:ascii="Calibri" w:hAnsi="Calibri"/>
          <w:sz w:val="10"/>
          <w:szCs w:val="10"/>
        </w:rPr>
        <w:sectPr w:rsidR="00CC370F" w:rsidRPr="003F0F51" w:rsidSect="00482A1C">
          <w:type w:val="continuous"/>
          <w:pgSz w:w="11910" w:h="16840"/>
          <w:pgMar w:top="567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74C8D35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w:lastRenderedPageBreak/>
        <mc:AlternateContent>
          <mc:Choice Requires="wpg">
            <w:drawing>
              <wp:inline distT="0" distB="0" distL="0" distR="0" wp14:anchorId="3E1245ED" wp14:editId="5E1159E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181961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683581B" w14:textId="251AF7AF" w:rsidR="00910DE8" w:rsidRPr="001403CA" w:rsidRDefault="00F41B86" w:rsidP="00404E5B">
      <w:pPr>
        <w:spacing w:before="92"/>
        <w:ind w:right="4234"/>
        <w:rPr>
          <w:noProof/>
          <w:sz w:val="2"/>
          <w:szCs w:val="2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8241" behindDoc="0" locked="0" layoutInCell="1" allowOverlap="1" wp14:anchorId="62A0206E" wp14:editId="05EB778B">
            <wp:simplePos x="0" y="0"/>
            <wp:positionH relativeFrom="column">
              <wp:posOffset>56328</wp:posOffset>
            </wp:positionH>
            <wp:positionV relativeFrom="paragraph">
              <wp:posOffset>64994</wp:posOffset>
            </wp:positionV>
            <wp:extent cx="803910" cy="803910"/>
            <wp:effectExtent l="0" t="0" r="0" b="0"/>
            <wp:wrapSquare wrapText="bothSides"/>
            <wp:docPr id="2" name="Picture 2" descr="A picture containing wall, person, indoor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wall, person, indoor,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</w:p>
    <w:p w14:paraId="7ED2268E" w14:textId="37D7D22F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53BCC3" w14:textId="581A22D1" w:rsidR="00D04CA3" w:rsidRDefault="00E03C6F" w:rsidP="00D04CA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bookmarkStart w:id="0" w:name="_GoBack"/>
      <w:r>
        <w:rPr>
          <w:rFonts w:ascii="Arial"/>
          <w:sz w:val="14"/>
        </w:rPr>
        <w:t xml:space="preserve">Nishant Joglekar </w:t>
      </w:r>
      <w:bookmarkEnd w:id="0"/>
      <w:r w:rsidR="00D04CA3">
        <w:rPr>
          <w:rFonts w:ascii="Arial"/>
          <w:sz w:val="14"/>
        </w:rPr>
        <w:t xml:space="preserve">is a final year doctoral researcher from Loughborough University, UK. His PhD is </w:t>
      </w:r>
      <w:r w:rsidR="003412B7" w:rsidRPr="003412B7">
        <w:rPr>
          <w:rFonts w:ascii="Arial" w:hAnsi="Arial" w:cs="Arial"/>
          <w:bCs/>
          <w:sz w:val="14"/>
          <w:szCs w:val="14"/>
        </w:rPr>
        <w:t>focused on addressing the effects of cryopreservation during the manufacturing of stem cell-based cell therapies</w:t>
      </w:r>
      <w:r w:rsidR="0084606A">
        <w:rPr>
          <w:rFonts w:ascii="Arial" w:hAnsi="Arial" w:cs="Arial"/>
          <w:bCs/>
          <w:sz w:val="14"/>
          <w:szCs w:val="14"/>
        </w:rPr>
        <w:t>,</w:t>
      </w:r>
      <w:r w:rsidR="003412B7" w:rsidRPr="003412B7">
        <w:rPr>
          <w:rFonts w:ascii="Arial" w:hAnsi="Arial" w:cs="Arial"/>
          <w:bCs/>
          <w:sz w:val="14"/>
          <w:szCs w:val="14"/>
        </w:rPr>
        <w:t xml:space="preserve"> develop</w:t>
      </w:r>
      <w:r w:rsidR="00FD716A">
        <w:rPr>
          <w:rFonts w:ascii="Arial" w:hAnsi="Arial" w:cs="Arial"/>
          <w:bCs/>
          <w:sz w:val="14"/>
          <w:szCs w:val="14"/>
        </w:rPr>
        <w:t>ing</w:t>
      </w:r>
      <w:r w:rsidR="003412B7" w:rsidRPr="003412B7">
        <w:rPr>
          <w:rFonts w:ascii="Arial" w:hAnsi="Arial" w:cs="Arial"/>
          <w:bCs/>
          <w:sz w:val="14"/>
          <w:szCs w:val="14"/>
        </w:rPr>
        <w:t xml:space="preserve"> a rapid method to identify biomarkers that could be used to detect dying cells</w:t>
      </w:r>
      <w:r w:rsidR="00D1288A">
        <w:rPr>
          <w:rFonts w:ascii="Arial" w:hAnsi="Arial" w:cs="Arial"/>
          <w:bCs/>
          <w:sz w:val="14"/>
          <w:szCs w:val="14"/>
        </w:rPr>
        <w:t>, post-thaw,</w:t>
      </w:r>
      <w:r w:rsidR="003412B7" w:rsidRPr="003412B7">
        <w:rPr>
          <w:rFonts w:ascii="Arial" w:hAnsi="Arial" w:cs="Arial"/>
          <w:bCs/>
          <w:sz w:val="14"/>
          <w:szCs w:val="14"/>
        </w:rPr>
        <w:t xml:space="preserve"> during manufacturing.</w:t>
      </w:r>
      <w:r w:rsidR="00FE708A">
        <w:rPr>
          <w:rFonts w:ascii="Arial" w:hAnsi="Arial" w:cs="Arial"/>
          <w:bCs/>
          <w:sz w:val="14"/>
          <w:szCs w:val="14"/>
        </w:rPr>
        <w:t xml:space="preserve"> </w:t>
      </w:r>
      <w:r w:rsidR="00773F14">
        <w:rPr>
          <w:rFonts w:ascii="Arial" w:hAnsi="Arial" w:cs="Arial"/>
          <w:bCs/>
          <w:sz w:val="14"/>
          <w:szCs w:val="14"/>
        </w:rPr>
        <w:t xml:space="preserve">Nishant </w:t>
      </w:r>
      <w:r w:rsidR="00624EDF">
        <w:rPr>
          <w:rFonts w:ascii="Arial" w:hAnsi="Arial" w:cs="Arial"/>
          <w:bCs/>
          <w:sz w:val="14"/>
          <w:szCs w:val="14"/>
        </w:rPr>
        <w:t>is skilled in cel</w:t>
      </w:r>
      <w:r w:rsidR="008728C2">
        <w:rPr>
          <w:rFonts w:ascii="Arial" w:hAnsi="Arial" w:cs="Arial"/>
          <w:bCs/>
          <w:sz w:val="14"/>
          <w:szCs w:val="14"/>
        </w:rPr>
        <w:t xml:space="preserve">l culture (T cells and stem cells), and numerous other </w:t>
      </w:r>
      <w:r w:rsidR="009D2330">
        <w:rPr>
          <w:rFonts w:ascii="Arial" w:hAnsi="Arial" w:cs="Arial"/>
          <w:bCs/>
          <w:sz w:val="14"/>
          <w:szCs w:val="14"/>
        </w:rPr>
        <w:t>cell-based techniques including flow cytometry</w:t>
      </w:r>
      <w:r w:rsidR="0014028D">
        <w:rPr>
          <w:rFonts w:ascii="Arial" w:hAnsi="Arial" w:cs="Arial"/>
          <w:bCs/>
          <w:sz w:val="14"/>
          <w:szCs w:val="14"/>
        </w:rPr>
        <w:t xml:space="preserve">, </w:t>
      </w:r>
      <w:r w:rsidR="009D2330">
        <w:rPr>
          <w:rFonts w:ascii="Arial" w:hAnsi="Arial" w:cs="Arial"/>
          <w:bCs/>
          <w:sz w:val="14"/>
          <w:szCs w:val="14"/>
        </w:rPr>
        <w:t>qPCR</w:t>
      </w:r>
      <w:r w:rsidR="0014028D">
        <w:rPr>
          <w:rFonts w:ascii="Arial" w:hAnsi="Arial" w:cs="Arial"/>
          <w:bCs/>
          <w:sz w:val="14"/>
          <w:szCs w:val="14"/>
        </w:rPr>
        <w:t>, and fluorescence microscopy</w:t>
      </w:r>
      <w:r w:rsidR="00583D0B">
        <w:rPr>
          <w:rFonts w:ascii="Arial" w:hAnsi="Arial" w:cs="Arial"/>
          <w:bCs/>
          <w:sz w:val="14"/>
          <w:szCs w:val="14"/>
        </w:rPr>
        <w:t>.</w:t>
      </w:r>
    </w:p>
    <w:p w14:paraId="60C2467F" w14:textId="77777777" w:rsidR="001403CA" w:rsidRDefault="001403CA">
      <w:pPr>
        <w:spacing w:before="62"/>
        <w:ind w:left="4217" w:right="4235"/>
        <w:jc w:val="center"/>
        <w:rPr>
          <w:rFonts w:ascii="Arial"/>
          <w:sz w:val="14"/>
        </w:rPr>
      </w:pPr>
    </w:p>
    <w:p w14:paraId="222DC193" w14:textId="5F126BE6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DB0559" w:rsidRPr="00E22C3B">
          <w:rPr>
            <w:rStyle w:val="Hyperlink"/>
            <w:rFonts w:ascii="Arial"/>
            <w:sz w:val="14"/>
          </w:rPr>
          <w:t>n.joglekar@lboro.ac.uk</w:t>
        </w:r>
      </w:hyperlink>
    </w:p>
    <w:p w14:paraId="5067ED15" w14:textId="43A82833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FDB585B" wp14:editId="3CD95C5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3957D2C" id="Line 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3C130CE1" w14:textId="77777777" w:rsidR="00EA7D51" w:rsidRPr="000534A1" w:rsidRDefault="00EA7D51" w:rsidP="00482A1C">
      <w:pPr>
        <w:spacing w:before="39"/>
        <w:rPr>
          <w:rFonts w:ascii="Minion Pro"/>
          <w:b/>
          <w:sz w:val="20"/>
        </w:rPr>
        <w:sectPr w:rsidR="00EA7D51" w:rsidRPr="000534A1" w:rsidSect="001403CA">
          <w:type w:val="continuous"/>
          <w:pgSz w:w="11910" w:h="16840"/>
          <w:pgMar w:top="995" w:right="600" w:bottom="142" w:left="620" w:header="720" w:footer="720" w:gutter="0"/>
          <w:cols w:space="720"/>
        </w:sectPr>
      </w:pPr>
    </w:p>
    <w:p w14:paraId="41E1DE38" w14:textId="04C4523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A5EE12" w14:textId="77777777" w:rsidR="00B92475" w:rsidRDefault="00B92475">
      <w:r>
        <w:separator/>
      </w:r>
    </w:p>
  </w:endnote>
  <w:endnote w:type="continuationSeparator" w:id="0">
    <w:p w14:paraId="164D407B" w14:textId="77777777" w:rsidR="00B92475" w:rsidRDefault="00B92475">
      <w:r>
        <w:continuationSeparator/>
      </w:r>
    </w:p>
  </w:endnote>
  <w:endnote w:type="continuationNotice" w:id="1">
    <w:p w14:paraId="5F6C8F88" w14:textId="77777777" w:rsidR="00B92475" w:rsidRDefault="00B924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DA0D6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132A212" wp14:editId="7E80543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A2C34C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92AFC2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132A21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32A2C34C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92AFC2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C2CC836" wp14:editId="7D09727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6F7D9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E31F83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C2CC836" id="Text Box 2" o:spid="_x0000_s1027" type="#_x0000_t202" style="position:absolute;margin-left:252.1pt;margin-top:799.05pt;width:91.9pt;height:24.9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666F7D9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E31F83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6E7A326C" wp14:editId="60ED53B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613A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26D95A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E7A326C" id="Text Box 1" o:spid="_x0000_s1028" type="#_x0000_t202" style="position:absolute;margin-left:468.9pt;margin-top:798.8pt;width:91.4pt;height:26.0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034613A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26D95A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4BA82A" w14:textId="77777777" w:rsidR="00B92475" w:rsidRDefault="00B92475">
      <w:r>
        <w:separator/>
      </w:r>
    </w:p>
  </w:footnote>
  <w:footnote w:type="continuationSeparator" w:id="0">
    <w:p w14:paraId="18902E27" w14:textId="77777777" w:rsidR="00B92475" w:rsidRDefault="00B92475">
      <w:r>
        <w:continuationSeparator/>
      </w:r>
    </w:p>
  </w:footnote>
  <w:footnote w:type="continuationNotice" w:id="1">
    <w:p w14:paraId="425CFE32" w14:textId="77777777" w:rsidR="00B92475" w:rsidRDefault="00B9247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E59EE"/>
    <w:multiLevelType w:val="multilevel"/>
    <w:tmpl w:val="14DC99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1D6F"/>
    <w:rsid w:val="00042186"/>
    <w:rsid w:val="00042B07"/>
    <w:rsid w:val="000534A1"/>
    <w:rsid w:val="00054350"/>
    <w:rsid w:val="00055F86"/>
    <w:rsid w:val="0005779B"/>
    <w:rsid w:val="00057A17"/>
    <w:rsid w:val="00063237"/>
    <w:rsid w:val="00066DDA"/>
    <w:rsid w:val="0006797A"/>
    <w:rsid w:val="000803E9"/>
    <w:rsid w:val="000A4594"/>
    <w:rsid w:val="000B4CAA"/>
    <w:rsid w:val="000B5EB3"/>
    <w:rsid w:val="000E03BE"/>
    <w:rsid w:val="000E2911"/>
    <w:rsid w:val="000F0B27"/>
    <w:rsid w:val="0011723C"/>
    <w:rsid w:val="00125C88"/>
    <w:rsid w:val="001263DF"/>
    <w:rsid w:val="00126BCE"/>
    <w:rsid w:val="0014028D"/>
    <w:rsid w:val="001403CA"/>
    <w:rsid w:val="001406A4"/>
    <w:rsid w:val="00164EDD"/>
    <w:rsid w:val="001872F2"/>
    <w:rsid w:val="00196A6E"/>
    <w:rsid w:val="001A4CE4"/>
    <w:rsid w:val="001B0882"/>
    <w:rsid w:val="001B21D3"/>
    <w:rsid w:val="001B6371"/>
    <w:rsid w:val="001D20FD"/>
    <w:rsid w:val="001F31CA"/>
    <w:rsid w:val="0022265E"/>
    <w:rsid w:val="00225A17"/>
    <w:rsid w:val="00235F33"/>
    <w:rsid w:val="002473A1"/>
    <w:rsid w:val="002666CF"/>
    <w:rsid w:val="00272A01"/>
    <w:rsid w:val="002765CD"/>
    <w:rsid w:val="00292ED9"/>
    <w:rsid w:val="002B334E"/>
    <w:rsid w:val="002B5B82"/>
    <w:rsid w:val="002D0462"/>
    <w:rsid w:val="002E6EAA"/>
    <w:rsid w:val="002F0B53"/>
    <w:rsid w:val="0030600A"/>
    <w:rsid w:val="003412B7"/>
    <w:rsid w:val="00341D05"/>
    <w:rsid w:val="00343A48"/>
    <w:rsid w:val="0035057E"/>
    <w:rsid w:val="00351263"/>
    <w:rsid w:val="00351D9B"/>
    <w:rsid w:val="00380299"/>
    <w:rsid w:val="00393A88"/>
    <w:rsid w:val="003B737B"/>
    <w:rsid w:val="003D76C2"/>
    <w:rsid w:val="003E0669"/>
    <w:rsid w:val="003E2930"/>
    <w:rsid w:val="003F0F51"/>
    <w:rsid w:val="003F585D"/>
    <w:rsid w:val="004016E9"/>
    <w:rsid w:val="00404E5B"/>
    <w:rsid w:val="00414F7B"/>
    <w:rsid w:val="00417945"/>
    <w:rsid w:val="00421C1D"/>
    <w:rsid w:val="00423D42"/>
    <w:rsid w:val="004355DC"/>
    <w:rsid w:val="0044100B"/>
    <w:rsid w:val="00445DB6"/>
    <w:rsid w:val="00461102"/>
    <w:rsid w:val="0047437C"/>
    <w:rsid w:val="004749B4"/>
    <w:rsid w:val="00475D20"/>
    <w:rsid w:val="00482A1C"/>
    <w:rsid w:val="004843D4"/>
    <w:rsid w:val="00494130"/>
    <w:rsid w:val="00494C06"/>
    <w:rsid w:val="004A02EB"/>
    <w:rsid w:val="004B1BD3"/>
    <w:rsid w:val="004B64B2"/>
    <w:rsid w:val="004F3523"/>
    <w:rsid w:val="00500449"/>
    <w:rsid w:val="005010F6"/>
    <w:rsid w:val="00507D09"/>
    <w:rsid w:val="00512382"/>
    <w:rsid w:val="00512F19"/>
    <w:rsid w:val="00541DA7"/>
    <w:rsid w:val="005424DE"/>
    <w:rsid w:val="00545BDB"/>
    <w:rsid w:val="00546092"/>
    <w:rsid w:val="005477B5"/>
    <w:rsid w:val="00554B73"/>
    <w:rsid w:val="0056537B"/>
    <w:rsid w:val="00570A80"/>
    <w:rsid w:val="00583D0B"/>
    <w:rsid w:val="005873D6"/>
    <w:rsid w:val="00590D60"/>
    <w:rsid w:val="005973B9"/>
    <w:rsid w:val="005A0BEA"/>
    <w:rsid w:val="005B3A56"/>
    <w:rsid w:val="005D7185"/>
    <w:rsid w:val="005E6595"/>
    <w:rsid w:val="005F5979"/>
    <w:rsid w:val="00603639"/>
    <w:rsid w:val="006060CE"/>
    <w:rsid w:val="006138F7"/>
    <w:rsid w:val="0061505C"/>
    <w:rsid w:val="006208E6"/>
    <w:rsid w:val="00624750"/>
    <w:rsid w:val="00624EDF"/>
    <w:rsid w:val="00625230"/>
    <w:rsid w:val="0063404C"/>
    <w:rsid w:val="0063497F"/>
    <w:rsid w:val="00634AF9"/>
    <w:rsid w:val="00636210"/>
    <w:rsid w:val="00676ED5"/>
    <w:rsid w:val="0071145F"/>
    <w:rsid w:val="00714354"/>
    <w:rsid w:val="00726725"/>
    <w:rsid w:val="007329C5"/>
    <w:rsid w:val="00742504"/>
    <w:rsid w:val="00745A56"/>
    <w:rsid w:val="00773F14"/>
    <w:rsid w:val="00775C70"/>
    <w:rsid w:val="00795A3D"/>
    <w:rsid w:val="007A6CFA"/>
    <w:rsid w:val="007A7785"/>
    <w:rsid w:val="007B0802"/>
    <w:rsid w:val="007C6091"/>
    <w:rsid w:val="00814B4A"/>
    <w:rsid w:val="00834BEE"/>
    <w:rsid w:val="0084606A"/>
    <w:rsid w:val="00854359"/>
    <w:rsid w:val="00864B54"/>
    <w:rsid w:val="008728C2"/>
    <w:rsid w:val="00873C1D"/>
    <w:rsid w:val="00873DF0"/>
    <w:rsid w:val="00874375"/>
    <w:rsid w:val="008756E6"/>
    <w:rsid w:val="00876C72"/>
    <w:rsid w:val="00897EC5"/>
    <w:rsid w:val="008A0763"/>
    <w:rsid w:val="008A5BCD"/>
    <w:rsid w:val="008B2371"/>
    <w:rsid w:val="008C571C"/>
    <w:rsid w:val="008C7D08"/>
    <w:rsid w:val="008D777A"/>
    <w:rsid w:val="008E5477"/>
    <w:rsid w:val="008F692C"/>
    <w:rsid w:val="00910DE8"/>
    <w:rsid w:val="00942687"/>
    <w:rsid w:val="00950030"/>
    <w:rsid w:val="00960A67"/>
    <w:rsid w:val="009765EE"/>
    <w:rsid w:val="00991D10"/>
    <w:rsid w:val="009933B7"/>
    <w:rsid w:val="0099566B"/>
    <w:rsid w:val="009960A0"/>
    <w:rsid w:val="0099634E"/>
    <w:rsid w:val="009A1C84"/>
    <w:rsid w:val="009A2E7A"/>
    <w:rsid w:val="009B19B6"/>
    <w:rsid w:val="009B2D44"/>
    <w:rsid w:val="009B7A6C"/>
    <w:rsid w:val="009C76C3"/>
    <w:rsid w:val="009D2330"/>
    <w:rsid w:val="009D25D0"/>
    <w:rsid w:val="009D6B6E"/>
    <w:rsid w:val="009F1CD0"/>
    <w:rsid w:val="009F79BE"/>
    <w:rsid w:val="00A07BD7"/>
    <w:rsid w:val="00A07E82"/>
    <w:rsid w:val="00A15F67"/>
    <w:rsid w:val="00A31643"/>
    <w:rsid w:val="00A52075"/>
    <w:rsid w:val="00A9710C"/>
    <w:rsid w:val="00AC012F"/>
    <w:rsid w:val="00AD307E"/>
    <w:rsid w:val="00AE3E37"/>
    <w:rsid w:val="00AE6AF2"/>
    <w:rsid w:val="00B21A57"/>
    <w:rsid w:val="00B31BEF"/>
    <w:rsid w:val="00B32F52"/>
    <w:rsid w:val="00B410A2"/>
    <w:rsid w:val="00B62414"/>
    <w:rsid w:val="00B6425A"/>
    <w:rsid w:val="00B71BCE"/>
    <w:rsid w:val="00B84ACC"/>
    <w:rsid w:val="00B92475"/>
    <w:rsid w:val="00B946CE"/>
    <w:rsid w:val="00BB4D62"/>
    <w:rsid w:val="00BE0BEF"/>
    <w:rsid w:val="00BE5E4F"/>
    <w:rsid w:val="00BE6743"/>
    <w:rsid w:val="00BE6F84"/>
    <w:rsid w:val="00BE7337"/>
    <w:rsid w:val="00C14C57"/>
    <w:rsid w:val="00C276DE"/>
    <w:rsid w:val="00C27954"/>
    <w:rsid w:val="00C316D8"/>
    <w:rsid w:val="00C33602"/>
    <w:rsid w:val="00C37A5F"/>
    <w:rsid w:val="00C46F01"/>
    <w:rsid w:val="00C56C74"/>
    <w:rsid w:val="00C73878"/>
    <w:rsid w:val="00C87978"/>
    <w:rsid w:val="00CB7110"/>
    <w:rsid w:val="00CB7768"/>
    <w:rsid w:val="00CC370F"/>
    <w:rsid w:val="00CC6AF8"/>
    <w:rsid w:val="00CD6F55"/>
    <w:rsid w:val="00CD7BD6"/>
    <w:rsid w:val="00CE25D5"/>
    <w:rsid w:val="00CE2A39"/>
    <w:rsid w:val="00D0008C"/>
    <w:rsid w:val="00D04CA3"/>
    <w:rsid w:val="00D054CA"/>
    <w:rsid w:val="00D1288A"/>
    <w:rsid w:val="00D162AD"/>
    <w:rsid w:val="00D44B93"/>
    <w:rsid w:val="00D61728"/>
    <w:rsid w:val="00D61E13"/>
    <w:rsid w:val="00D654E0"/>
    <w:rsid w:val="00D74CC7"/>
    <w:rsid w:val="00DB0559"/>
    <w:rsid w:val="00DD0ED7"/>
    <w:rsid w:val="00DD3435"/>
    <w:rsid w:val="00DE1161"/>
    <w:rsid w:val="00DE3104"/>
    <w:rsid w:val="00DE6170"/>
    <w:rsid w:val="00DF4898"/>
    <w:rsid w:val="00DF4AC8"/>
    <w:rsid w:val="00E016F4"/>
    <w:rsid w:val="00E03C6F"/>
    <w:rsid w:val="00E2089F"/>
    <w:rsid w:val="00E23E13"/>
    <w:rsid w:val="00E24A55"/>
    <w:rsid w:val="00E27A24"/>
    <w:rsid w:val="00E30AAC"/>
    <w:rsid w:val="00E30C6F"/>
    <w:rsid w:val="00E3370A"/>
    <w:rsid w:val="00E553C1"/>
    <w:rsid w:val="00E6568C"/>
    <w:rsid w:val="00E77A99"/>
    <w:rsid w:val="00E82241"/>
    <w:rsid w:val="00E93FF2"/>
    <w:rsid w:val="00E95D97"/>
    <w:rsid w:val="00EA7D51"/>
    <w:rsid w:val="00EB0792"/>
    <w:rsid w:val="00EB780C"/>
    <w:rsid w:val="00EC48DA"/>
    <w:rsid w:val="00EC5E39"/>
    <w:rsid w:val="00ED6F27"/>
    <w:rsid w:val="00EE574A"/>
    <w:rsid w:val="00EE79C5"/>
    <w:rsid w:val="00EF46DB"/>
    <w:rsid w:val="00F046EA"/>
    <w:rsid w:val="00F11861"/>
    <w:rsid w:val="00F13633"/>
    <w:rsid w:val="00F207A4"/>
    <w:rsid w:val="00F312EA"/>
    <w:rsid w:val="00F35A62"/>
    <w:rsid w:val="00F41B86"/>
    <w:rsid w:val="00F72EEA"/>
    <w:rsid w:val="00F84CAE"/>
    <w:rsid w:val="00FA2F21"/>
    <w:rsid w:val="00FA41DE"/>
    <w:rsid w:val="00FA4726"/>
    <w:rsid w:val="00FA6CD1"/>
    <w:rsid w:val="00FA7203"/>
    <w:rsid w:val="00FB00D0"/>
    <w:rsid w:val="00FB3ADA"/>
    <w:rsid w:val="00FC04F3"/>
    <w:rsid w:val="00FD3C46"/>
    <w:rsid w:val="00FD716A"/>
    <w:rsid w:val="00FE70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83DA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B4D62"/>
    <w:rPr>
      <w:color w:val="605E5C"/>
      <w:shd w:val="clear" w:color="auto" w:fill="E1DFDD"/>
    </w:rPr>
  </w:style>
  <w:style w:type="character" w:customStyle="1" w:styleId="Style3">
    <w:name w:val="Style3"/>
    <w:basedOn w:val="DefaultParagraphFont"/>
    <w:uiPriority w:val="1"/>
    <w:rsid w:val="00BB4D62"/>
    <w:rPr>
      <w:rFonts w:ascii="Arial" w:hAnsi="Arial" w:cs="Arial" w:hint="default"/>
      <w:sz w:val="22"/>
    </w:rPr>
  </w:style>
  <w:style w:type="paragraph" w:styleId="NoSpacing">
    <w:name w:val="No Spacing"/>
    <w:uiPriority w:val="1"/>
    <w:qFormat/>
    <w:rsid w:val="003F0F51"/>
    <w:rPr>
      <w:rFonts w:ascii="Tw Cen MT" w:eastAsia="Tw Cen MT" w:hAnsi="Tw Cen MT" w:cs="Tw Cen M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B4D62"/>
    <w:rPr>
      <w:color w:val="605E5C"/>
      <w:shd w:val="clear" w:color="auto" w:fill="E1DFDD"/>
    </w:rPr>
  </w:style>
  <w:style w:type="character" w:customStyle="1" w:styleId="Style3">
    <w:name w:val="Style3"/>
    <w:basedOn w:val="DefaultParagraphFont"/>
    <w:uiPriority w:val="1"/>
    <w:rsid w:val="00BB4D62"/>
    <w:rPr>
      <w:rFonts w:ascii="Arial" w:hAnsi="Arial" w:cs="Arial" w:hint="default"/>
      <w:sz w:val="22"/>
    </w:rPr>
  </w:style>
  <w:style w:type="paragraph" w:styleId="NoSpacing">
    <w:name w:val="No Spacing"/>
    <w:uiPriority w:val="1"/>
    <w:qFormat/>
    <w:rsid w:val="003F0F51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.joglekar@lboro.ac.u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4212</CharactersWithSpaces>
  <SharedDoc>false</SharedDoc>
  <HLinks>
    <vt:vector size="6" baseType="variant">
      <vt:variant>
        <vt:i4>7143517</vt:i4>
      </vt:variant>
      <vt:variant>
        <vt:i4>0</vt:i4>
      </vt:variant>
      <vt:variant>
        <vt:i4>0</vt:i4>
      </vt:variant>
      <vt:variant>
        <vt:i4>5</vt:i4>
      </vt:variant>
      <vt:variant>
        <vt:lpwstr>mailto:n.joglekar@lboro.ac.uk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World Nursing 2021</cp:lastModifiedBy>
  <cp:revision>2</cp:revision>
  <dcterms:created xsi:type="dcterms:W3CDTF">2022-10-26T05:52:00Z</dcterms:created>
  <dcterms:modified xsi:type="dcterms:W3CDTF">2022-10-26T05:52:00Z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GrammarlyDocumentId">
    <vt:lpwstr>0217b15c9251ad8903e4fc2f07d5c59ebc5a06672b9ce3a4ae5318fd80ac0f23</vt:lpwstr>
  </property>
</Properties>
</file>