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979F3A2" w14:textId="2E77A0C4" w:rsidR="004104ED" w:rsidRPr="00DC49E9" w:rsidRDefault="00DC49E9" w:rsidP="00493892">
      <w:pPr>
        <w:spacing w:before="240" w:line="240" w:lineRule="auto"/>
        <w:rPr>
          <w:rFonts w:ascii="Times New Roman" w:hAnsi="Times New Roman" w:cs="Times New Roman"/>
          <w:b/>
          <w:bCs/>
          <w:color w:val="2F5496" w:themeColor="accent1" w:themeShade="BF"/>
          <w:sz w:val="32"/>
          <w:szCs w:val="32"/>
        </w:rPr>
      </w:pPr>
      <w:r w:rsidRPr="00DC49E9">
        <w:rPr>
          <w:rFonts w:ascii="Times New Roman" w:hAnsi="Times New Roman" w:cs="Times New Roman"/>
          <w:b/>
          <w:bCs/>
          <w:color w:val="2F5496" w:themeColor="accent1" w:themeShade="BF"/>
          <w:sz w:val="32"/>
          <w:szCs w:val="32"/>
        </w:rPr>
        <w:t>Cell</w:t>
      </w:r>
      <w:r>
        <w:rPr>
          <w:rFonts w:ascii="Times New Roman" w:hAnsi="Times New Roman" w:cs="Times New Roman"/>
          <w:b/>
          <w:bCs/>
          <w:color w:val="2F5496" w:themeColor="accent1" w:themeShade="BF"/>
          <w:sz w:val="32"/>
          <w:szCs w:val="32"/>
        </w:rPr>
        <w:t>-F</w:t>
      </w:r>
      <w:r w:rsidRPr="00DC49E9">
        <w:rPr>
          <w:rFonts w:ascii="Times New Roman" w:hAnsi="Times New Roman" w:cs="Times New Roman"/>
          <w:b/>
          <w:bCs/>
          <w:color w:val="2F5496" w:themeColor="accent1" w:themeShade="BF"/>
          <w:sz w:val="32"/>
          <w:szCs w:val="32"/>
        </w:rPr>
        <w:t xml:space="preserve">ree DNA as a </w:t>
      </w:r>
      <w:r>
        <w:rPr>
          <w:rFonts w:ascii="Times New Roman" w:hAnsi="Times New Roman" w:cs="Times New Roman"/>
          <w:b/>
          <w:bCs/>
          <w:color w:val="2F5496" w:themeColor="accent1" w:themeShade="BF"/>
          <w:sz w:val="32"/>
          <w:szCs w:val="32"/>
        </w:rPr>
        <w:t>B</w:t>
      </w:r>
      <w:r w:rsidRPr="00DC49E9">
        <w:rPr>
          <w:rFonts w:ascii="Times New Roman" w:hAnsi="Times New Roman" w:cs="Times New Roman"/>
          <w:b/>
          <w:bCs/>
          <w:color w:val="2F5496" w:themeColor="accent1" w:themeShade="BF"/>
          <w:sz w:val="32"/>
          <w:szCs w:val="32"/>
        </w:rPr>
        <w:t xml:space="preserve">iomarker and its </w:t>
      </w:r>
      <w:r>
        <w:rPr>
          <w:rFonts w:ascii="Times New Roman" w:hAnsi="Times New Roman" w:cs="Times New Roman"/>
          <w:b/>
          <w:bCs/>
          <w:color w:val="2F5496" w:themeColor="accent1" w:themeShade="BF"/>
          <w:sz w:val="32"/>
          <w:szCs w:val="32"/>
        </w:rPr>
        <w:t>C</w:t>
      </w:r>
      <w:r w:rsidRPr="00DC49E9">
        <w:rPr>
          <w:rFonts w:ascii="Times New Roman" w:hAnsi="Times New Roman" w:cs="Times New Roman"/>
          <w:b/>
          <w:bCs/>
          <w:color w:val="2F5496" w:themeColor="accent1" w:themeShade="BF"/>
          <w:sz w:val="32"/>
          <w:szCs w:val="32"/>
        </w:rPr>
        <w:t>orrelation in SLE</w:t>
      </w:r>
      <w:r>
        <w:rPr>
          <w:rFonts w:ascii="Times New Roman" w:hAnsi="Times New Roman" w:cs="Times New Roman"/>
          <w:b/>
          <w:bCs/>
          <w:color w:val="2F5496" w:themeColor="accent1" w:themeShade="BF"/>
          <w:sz w:val="32"/>
          <w:szCs w:val="32"/>
        </w:rPr>
        <w:t>.</w:t>
      </w:r>
      <w:r w:rsidRPr="00DC49E9">
        <w:rPr>
          <w:rFonts w:ascii="Times New Roman" w:hAnsi="Times New Roman" w:cs="Times New Roman"/>
          <w:b/>
          <w:bCs/>
          <w:color w:val="2F5496" w:themeColor="accent1" w:themeShade="BF"/>
          <w:sz w:val="32"/>
          <w:szCs w:val="32"/>
        </w:rPr>
        <w:t xml:space="preserve"> A </w:t>
      </w:r>
      <w:r>
        <w:rPr>
          <w:rFonts w:ascii="Times New Roman" w:hAnsi="Times New Roman" w:cs="Times New Roman"/>
          <w:b/>
          <w:bCs/>
          <w:color w:val="2F5496" w:themeColor="accent1" w:themeShade="BF"/>
          <w:sz w:val="32"/>
          <w:szCs w:val="32"/>
        </w:rPr>
        <w:t>S</w:t>
      </w:r>
      <w:r w:rsidRPr="00DC49E9">
        <w:rPr>
          <w:rFonts w:ascii="Times New Roman" w:hAnsi="Times New Roman" w:cs="Times New Roman"/>
          <w:b/>
          <w:bCs/>
          <w:color w:val="2F5496" w:themeColor="accent1" w:themeShade="BF"/>
          <w:sz w:val="32"/>
          <w:szCs w:val="32"/>
        </w:rPr>
        <w:t xml:space="preserve">ystematic </w:t>
      </w:r>
      <w:r>
        <w:rPr>
          <w:rFonts w:ascii="Times New Roman" w:hAnsi="Times New Roman" w:cs="Times New Roman"/>
          <w:b/>
          <w:bCs/>
          <w:color w:val="2F5496" w:themeColor="accent1" w:themeShade="BF"/>
          <w:sz w:val="32"/>
          <w:szCs w:val="32"/>
        </w:rPr>
        <w:t>R</w:t>
      </w:r>
      <w:r w:rsidRPr="00DC49E9">
        <w:rPr>
          <w:rFonts w:ascii="Times New Roman" w:hAnsi="Times New Roman" w:cs="Times New Roman"/>
          <w:b/>
          <w:bCs/>
          <w:color w:val="2F5496" w:themeColor="accent1" w:themeShade="BF"/>
          <w:sz w:val="32"/>
          <w:szCs w:val="32"/>
        </w:rPr>
        <w:t xml:space="preserve">eview and </w:t>
      </w:r>
      <w:r>
        <w:rPr>
          <w:rFonts w:ascii="Times New Roman" w:hAnsi="Times New Roman" w:cs="Times New Roman"/>
          <w:b/>
          <w:bCs/>
          <w:color w:val="2F5496" w:themeColor="accent1" w:themeShade="BF"/>
          <w:sz w:val="32"/>
          <w:szCs w:val="32"/>
        </w:rPr>
        <w:t>M</w:t>
      </w:r>
      <w:r w:rsidRPr="00DC49E9">
        <w:rPr>
          <w:rFonts w:ascii="Times New Roman" w:hAnsi="Times New Roman" w:cs="Times New Roman"/>
          <w:b/>
          <w:bCs/>
          <w:color w:val="2F5496" w:themeColor="accent1" w:themeShade="BF"/>
          <w:sz w:val="32"/>
          <w:szCs w:val="32"/>
        </w:rPr>
        <w:t>eta-</w:t>
      </w:r>
      <w:r>
        <w:rPr>
          <w:rFonts w:ascii="Times New Roman" w:hAnsi="Times New Roman" w:cs="Times New Roman"/>
          <w:b/>
          <w:bCs/>
          <w:color w:val="2F5496" w:themeColor="accent1" w:themeShade="BF"/>
          <w:sz w:val="32"/>
          <w:szCs w:val="32"/>
        </w:rPr>
        <w:t>a</w:t>
      </w:r>
      <w:r w:rsidRPr="00DC49E9">
        <w:rPr>
          <w:rFonts w:ascii="Times New Roman" w:hAnsi="Times New Roman" w:cs="Times New Roman"/>
          <w:b/>
          <w:bCs/>
          <w:color w:val="2F5496" w:themeColor="accent1" w:themeShade="BF"/>
          <w:sz w:val="32"/>
          <w:szCs w:val="32"/>
        </w:rPr>
        <w:t>nalysis.</w:t>
      </w:r>
    </w:p>
    <w:p w14:paraId="65BA7A2F" w14:textId="7936524A" w:rsidR="00DC49E9" w:rsidRDefault="00DC49E9" w:rsidP="00493892">
      <w:pPr>
        <w:pStyle w:val="BodyText"/>
        <w:spacing w:before="240" w:after="200"/>
        <w:rPr>
          <w:rFonts w:ascii="Times New Roman" w:hAnsi="Times New Roman" w:cs="Times New Roman"/>
          <w:sz w:val="24"/>
          <w:szCs w:val="24"/>
        </w:rPr>
      </w:pPr>
      <w:r w:rsidRPr="00DC49E9">
        <w:rPr>
          <w:rFonts w:ascii="Times New Roman" w:hAnsi="Times New Roman" w:cs="Times New Roman"/>
          <w:sz w:val="24"/>
          <w:szCs w:val="24"/>
        </w:rPr>
        <w:t>Shayan A Irfan</w:t>
      </w:r>
      <w:r w:rsidRPr="00DC49E9">
        <w:rPr>
          <w:rFonts w:ascii="Times New Roman" w:hAnsi="Times New Roman" w:cs="Times New Roman"/>
          <w:sz w:val="24"/>
          <w:szCs w:val="24"/>
        </w:rPr>
        <w:t>*</w:t>
      </w:r>
    </w:p>
    <w:p w14:paraId="33FFD5D9" w14:textId="7885108A" w:rsidR="00DC49E9" w:rsidRDefault="00DC49E9" w:rsidP="00493892">
      <w:pPr>
        <w:pStyle w:val="BodyText"/>
        <w:spacing w:before="240" w:after="200"/>
        <w:rPr>
          <w:rFonts w:ascii="Times New Roman" w:hAnsi="Times New Roman" w:cs="Times New Roman"/>
          <w:sz w:val="24"/>
          <w:szCs w:val="24"/>
        </w:rPr>
      </w:pPr>
      <w:r>
        <w:rPr>
          <w:rFonts w:ascii="Times New Roman" w:hAnsi="Times New Roman" w:cs="Times New Roman"/>
          <w:sz w:val="24"/>
          <w:szCs w:val="24"/>
        </w:rPr>
        <w:t>Dow University of Health Sciences, Pakistan</w:t>
      </w:r>
    </w:p>
    <w:p w14:paraId="23D87DE3" w14:textId="4CE862ED" w:rsidR="00DC49E9" w:rsidRDefault="00DC49E9" w:rsidP="00493892">
      <w:pPr>
        <w:pStyle w:val="BodyText"/>
        <w:spacing w:before="240" w:after="200"/>
        <w:jc w:val="center"/>
        <w:rPr>
          <w:rFonts w:ascii="Times New Roman" w:hAnsi="Times New Roman" w:cs="Times New Roman"/>
          <w:b/>
          <w:bCs/>
          <w:sz w:val="24"/>
          <w:szCs w:val="24"/>
        </w:rPr>
      </w:pPr>
      <w:r w:rsidRPr="00DC49E9">
        <w:rPr>
          <w:rFonts w:ascii="Times New Roman" w:hAnsi="Times New Roman" w:cs="Times New Roman"/>
          <w:b/>
          <w:bCs/>
          <w:sz w:val="24"/>
          <w:szCs w:val="24"/>
        </w:rPr>
        <w:t>Abstract</w:t>
      </w:r>
    </w:p>
    <w:p w14:paraId="5FFEDDF1" w14:textId="3110BFEB" w:rsidR="00DC49E9" w:rsidRPr="003F46B6" w:rsidRDefault="00DC49E9" w:rsidP="00493892">
      <w:pPr>
        <w:spacing w:before="240" w:line="240" w:lineRule="auto"/>
        <w:rPr>
          <w:rFonts w:ascii="Times New Roman" w:hAnsi="Times New Roman" w:cs="Times New Roman"/>
          <w:sz w:val="24"/>
          <w:szCs w:val="24"/>
        </w:rPr>
      </w:pPr>
      <w:r>
        <w:rPr>
          <w:rFonts w:ascii="Times New Roman" w:hAnsi="Times New Roman" w:cs="Times New Roman"/>
          <w:b/>
          <w:sz w:val="20"/>
          <w:szCs w:val="24"/>
        </w:rPr>
        <w:t>Statement of the problem</w:t>
      </w:r>
      <w:r w:rsidRPr="00DC49E9">
        <w:rPr>
          <w:rFonts w:ascii="Times New Roman" w:hAnsi="Times New Roman" w:cs="Times New Roman"/>
          <w:b/>
          <w:sz w:val="20"/>
          <w:szCs w:val="20"/>
        </w:rPr>
        <w:t xml:space="preserve">: </w:t>
      </w:r>
      <w:r w:rsidRPr="00DC49E9">
        <w:rPr>
          <w:rFonts w:ascii="Times New Roman" w:hAnsi="Times New Roman" w:cs="Times New Roman"/>
          <w:sz w:val="20"/>
          <w:szCs w:val="20"/>
        </w:rPr>
        <w:t xml:space="preserve">The purpose of this </w:t>
      </w:r>
      <w:r w:rsidRPr="00DC49E9">
        <w:rPr>
          <w:rFonts w:ascii="Times New Roman" w:hAnsi="Times New Roman" w:cs="Times New Roman"/>
          <w:sz w:val="20"/>
          <w:szCs w:val="20"/>
        </w:rPr>
        <w:t>study</w:t>
      </w:r>
      <w:r w:rsidRPr="00DC49E9">
        <w:rPr>
          <w:rFonts w:ascii="Times New Roman" w:hAnsi="Times New Roman" w:cs="Times New Roman"/>
          <w:sz w:val="20"/>
          <w:szCs w:val="20"/>
        </w:rPr>
        <w:t xml:space="preserve"> is to evaluate the correlation of plasma c</w:t>
      </w:r>
      <w:r w:rsidRPr="00DC49E9">
        <w:rPr>
          <w:rFonts w:ascii="Times New Roman" w:hAnsi="Times New Roman" w:cs="Times New Roman"/>
          <w:sz w:val="20"/>
          <w:szCs w:val="20"/>
        </w:rPr>
        <w:t>f</w:t>
      </w:r>
      <w:r w:rsidRPr="00DC49E9">
        <w:rPr>
          <w:rFonts w:ascii="Times New Roman" w:hAnsi="Times New Roman" w:cs="Times New Roman"/>
          <w:sz w:val="20"/>
          <w:szCs w:val="20"/>
        </w:rPr>
        <w:t xml:space="preserve">DNA in SLE </w:t>
      </w:r>
      <w:r w:rsidR="00D31592" w:rsidRPr="00DC49E9">
        <w:rPr>
          <w:rFonts w:ascii="Times New Roman" w:hAnsi="Times New Roman" w:cs="Times New Roman"/>
          <w:sz w:val="20"/>
          <w:szCs w:val="20"/>
        </w:rPr>
        <w:t>patients and</w:t>
      </w:r>
      <w:r w:rsidRPr="00DC49E9">
        <w:rPr>
          <w:rFonts w:ascii="Times New Roman" w:hAnsi="Times New Roman" w:cs="Times New Roman"/>
          <w:sz w:val="20"/>
          <w:szCs w:val="20"/>
        </w:rPr>
        <w:t xml:space="preserve"> determine the factors influencing the r</w:t>
      </w:r>
      <w:r>
        <w:rPr>
          <w:rFonts w:ascii="Times New Roman" w:hAnsi="Times New Roman" w:cs="Times New Roman"/>
          <w:sz w:val="20"/>
          <w:szCs w:val="20"/>
        </w:rPr>
        <w:t>ise</w:t>
      </w:r>
      <w:r w:rsidRPr="00DC49E9">
        <w:rPr>
          <w:rFonts w:ascii="Times New Roman" w:hAnsi="Times New Roman" w:cs="Times New Roman"/>
          <w:sz w:val="20"/>
          <w:szCs w:val="20"/>
        </w:rPr>
        <w:t xml:space="preserve"> </w:t>
      </w:r>
      <w:r>
        <w:rPr>
          <w:rFonts w:ascii="Times New Roman" w:hAnsi="Times New Roman" w:cs="Times New Roman"/>
          <w:sz w:val="20"/>
          <w:szCs w:val="20"/>
        </w:rPr>
        <w:t xml:space="preserve">in </w:t>
      </w:r>
      <w:r w:rsidRPr="00DC49E9">
        <w:rPr>
          <w:rFonts w:ascii="Times New Roman" w:hAnsi="Times New Roman" w:cs="Times New Roman"/>
          <w:sz w:val="20"/>
          <w:szCs w:val="20"/>
        </w:rPr>
        <w:t>c</w:t>
      </w:r>
      <w:r>
        <w:rPr>
          <w:rFonts w:ascii="Times New Roman" w:hAnsi="Times New Roman" w:cs="Times New Roman"/>
          <w:sz w:val="20"/>
          <w:szCs w:val="20"/>
        </w:rPr>
        <w:t>f</w:t>
      </w:r>
      <w:r w:rsidRPr="00DC49E9">
        <w:rPr>
          <w:rFonts w:ascii="Times New Roman" w:hAnsi="Times New Roman" w:cs="Times New Roman"/>
          <w:sz w:val="20"/>
          <w:szCs w:val="20"/>
        </w:rPr>
        <w:t>DNA level</w:t>
      </w:r>
      <w:r w:rsidRPr="00DC49E9">
        <w:rPr>
          <w:rFonts w:ascii="Times New Roman" w:hAnsi="Times New Roman" w:cs="Times New Roman"/>
          <w:sz w:val="20"/>
          <w:szCs w:val="20"/>
        </w:rPr>
        <w:t xml:space="preserve"> to assess the role of cfDNA as a diagnostic</w:t>
      </w:r>
      <w:r>
        <w:rPr>
          <w:rFonts w:ascii="Times New Roman" w:hAnsi="Times New Roman" w:cs="Times New Roman"/>
          <w:sz w:val="20"/>
          <w:szCs w:val="20"/>
        </w:rPr>
        <w:t xml:space="preserve"> </w:t>
      </w:r>
      <w:r w:rsidRPr="00DC49E9">
        <w:rPr>
          <w:rFonts w:ascii="Times New Roman" w:hAnsi="Times New Roman" w:cs="Times New Roman"/>
          <w:sz w:val="20"/>
          <w:szCs w:val="20"/>
        </w:rPr>
        <w:t>and prognostic marker</w:t>
      </w:r>
      <w:r>
        <w:rPr>
          <w:rFonts w:ascii="Times New Roman" w:hAnsi="Times New Roman" w:cs="Times New Roman"/>
          <w:sz w:val="24"/>
          <w:szCs w:val="24"/>
        </w:rPr>
        <w:t xml:space="preserve">. </w:t>
      </w:r>
    </w:p>
    <w:p w14:paraId="25935020" w14:textId="7F338A23" w:rsidR="00DC49E9" w:rsidRPr="00232CEF" w:rsidRDefault="00DC49E9" w:rsidP="00493892">
      <w:pPr>
        <w:spacing w:before="240" w:line="240" w:lineRule="auto"/>
        <w:rPr>
          <w:rFonts w:ascii="Times New Roman" w:hAnsi="Times New Roman" w:cs="Times New Roman"/>
          <w:b/>
          <w:sz w:val="26"/>
          <w:szCs w:val="26"/>
        </w:rPr>
      </w:pPr>
      <w:r>
        <w:rPr>
          <w:rFonts w:ascii="Times New Roman" w:hAnsi="Times New Roman" w:cs="Times New Roman"/>
          <w:b/>
          <w:sz w:val="20"/>
          <w:szCs w:val="24"/>
        </w:rPr>
        <w:t>Methodology</w:t>
      </w:r>
      <w:r>
        <w:rPr>
          <w:rFonts w:ascii="Times New Roman" w:hAnsi="Times New Roman" w:cs="Times New Roman"/>
          <w:b/>
          <w:sz w:val="20"/>
          <w:szCs w:val="24"/>
        </w:rPr>
        <w:t xml:space="preserve">: </w:t>
      </w:r>
      <w:r w:rsidRPr="00232CEF">
        <w:rPr>
          <w:rFonts w:ascii="Times New Roman" w:hAnsi="Times New Roman" w:cs="Times New Roman"/>
          <w:sz w:val="20"/>
          <w:szCs w:val="20"/>
        </w:rPr>
        <w:t xml:space="preserve">A systemic search was conducted from </w:t>
      </w:r>
      <w:r w:rsidRPr="00232CEF">
        <w:rPr>
          <w:rFonts w:ascii="Times New Roman" w:hAnsi="Times New Roman" w:cs="Times New Roman"/>
          <w:sz w:val="20"/>
          <w:szCs w:val="20"/>
        </w:rPr>
        <w:t xml:space="preserve">three </w:t>
      </w:r>
      <w:r w:rsidRPr="00232CEF">
        <w:rPr>
          <w:rFonts w:ascii="Times New Roman" w:hAnsi="Times New Roman" w:cs="Times New Roman"/>
          <w:sz w:val="20"/>
          <w:szCs w:val="20"/>
        </w:rPr>
        <w:t>electronic databases. All statistical analysis was conducted in Review Manager 5.4.1.</w:t>
      </w:r>
      <w:r w:rsidR="00232CEF" w:rsidRPr="00232CEF">
        <w:rPr>
          <w:rFonts w:ascii="Times New Roman" w:hAnsi="Times New Roman" w:cs="Times New Roman"/>
          <w:sz w:val="20"/>
          <w:szCs w:val="20"/>
        </w:rPr>
        <w:t xml:space="preserve"> </w:t>
      </w:r>
      <w:r w:rsidR="00232CEF" w:rsidRPr="00232CEF">
        <w:rPr>
          <w:rFonts w:ascii="Times New Roman" w:hAnsi="Times New Roman" w:cs="Times New Roman"/>
          <w:color w:val="333333"/>
          <w:sz w:val="20"/>
          <w:szCs w:val="20"/>
          <w:shd w:val="clear" w:color="auto" w:fill="FFFFFF"/>
        </w:rPr>
        <w:t>R</w:t>
      </w:r>
      <w:r w:rsidR="00D31592">
        <w:rPr>
          <w:rFonts w:ascii="Times New Roman" w:hAnsi="Times New Roman" w:cs="Times New Roman"/>
          <w:color w:val="333333"/>
          <w:sz w:val="20"/>
          <w:szCs w:val="20"/>
          <w:shd w:val="clear" w:color="auto" w:fill="FFFFFF"/>
        </w:rPr>
        <w:t>CTs</w:t>
      </w:r>
      <w:r w:rsidR="00232CEF" w:rsidRPr="00232CEF">
        <w:rPr>
          <w:rFonts w:ascii="Times New Roman" w:hAnsi="Times New Roman" w:cs="Times New Roman"/>
          <w:color w:val="333333"/>
          <w:sz w:val="20"/>
          <w:szCs w:val="20"/>
          <w:shd w:val="clear" w:color="auto" w:fill="FFFFFF"/>
        </w:rPr>
        <w:t xml:space="preserve"> </w:t>
      </w:r>
      <w:r w:rsidR="00232CEF" w:rsidRPr="00232CEF">
        <w:rPr>
          <w:rFonts w:ascii="Times New Roman" w:hAnsi="Times New Roman" w:cs="Times New Roman"/>
          <w:color w:val="333333"/>
          <w:sz w:val="20"/>
          <w:szCs w:val="20"/>
          <w:shd w:val="clear" w:color="auto" w:fill="FFFFFF"/>
        </w:rPr>
        <w:t xml:space="preserve">and </w:t>
      </w:r>
      <w:r w:rsidR="00232CEF" w:rsidRPr="00232CEF">
        <w:rPr>
          <w:rFonts w:ascii="Times New Roman" w:hAnsi="Times New Roman" w:cs="Times New Roman"/>
          <w:sz w:val="20"/>
          <w:szCs w:val="20"/>
        </w:rPr>
        <w:t>o</w:t>
      </w:r>
      <w:r w:rsidR="00232CEF" w:rsidRPr="00232CEF">
        <w:rPr>
          <w:rFonts w:ascii="Times New Roman" w:hAnsi="Times New Roman" w:cs="Times New Roman"/>
          <w:sz w:val="20"/>
          <w:szCs w:val="20"/>
        </w:rPr>
        <w:t>bservational studies evaluating the cfDNA levels in SLE patients in comparison to healthy control</w:t>
      </w:r>
      <w:r w:rsidR="00D31592">
        <w:rPr>
          <w:rFonts w:ascii="Times New Roman" w:hAnsi="Times New Roman" w:cs="Times New Roman"/>
          <w:sz w:val="20"/>
          <w:szCs w:val="20"/>
        </w:rPr>
        <w:t>,</w:t>
      </w:r>
      <w:r w:rsidR="00232CEF" w:rsidRPr="00232CEF">
        <w:rPr>
          <w:rFonts w:ascii="Times New Roman" w:hAnsi="Times New Roman" w:cs="Times New Roman"/>
          <w:sz w:val="20"/>
          <w:szCs w:val="20"/>
        </w:rPr>
        <w:t xml:space="preserve"> assessing any factor influencing this variable w</w:t>
      </w:r>
      <w:r w:rsidR="00232CEF" w:rsidRPr="00232CEF">
        <w:rPr>
          <w:rFonts w:ascii="Times New Roman" w:hAnsi="Times New Roman" w:cs="Times New Roman"/>
          <w:sz w:val="20"/>
          <w:szCs w:val="20"/>
        </w:rPr>
        <w:t>ere</w:t>
      </w:r>
      <w:r w:rsidR="00232CEF" w:rsidRPr="00232CEF">
        <w:rPr>
          <w:rFonts w:ascii="Times New Roman" w:hAnsi="Times New Roman" w:cs="Times New Roman"/>
          <w:sz w:val="20"/>
          <w:szCs w:val="20"/>
        </w:rPr>
        <w:t xml:space="preserve"> included in our study. </w:t>
      </w:r>
      <w:r w:rsidRPr="00232CEF">
        <w:rPr>
          <w:rFonts w:ascii="Times New Roman" w:hAnsi="Times New Roman" w:cs="Times New Roman"/>
          <w:sz w:val="20"/>
          <w:szCs w:val="20"/>
        </w:rPr>
        <w:t xml:space="preserve">A random-effect model was used to pool the studies, reported in the Standard Mean </w:t>
      </w:r>
      <w:r w:rsidR="00D31592" w:rsidRPr="00232CEF">
        <w:rPr>
          <w:rFonts w:ascii="Times New Roman" w:hAnsi="Times New Roman" w:cs="Times New Roman"/>
          <w:sz w:val="20"/>
          <w:szCs w:val="20"/>
        </w:rPr>
        <w:t>Differen</w:t>
      </w:r>
      <w:r w:rsidR="00D31592">
        <w:rPr>
          <w:rFonts w:ascii="Times New Roman" w:hAnsi="Times New Roman" w:cs="Times New Roman"/>
          <w:sz w:val="20"/>
          <w:szCs w:val="20"/>
        </w:rPr>
        <w:t>ce,</w:t>
      </w:r>
      <w:r w:rsidRPr="00232CEF">
        <w:rPr>
          <w:rFonts w:ascii="Times New Roman" w:hAnsi="Times New Roman" w:cs="Times New Roman"/>
          <w:sz w:val="20"/>
          <w:szCs w:val="20"/>
        </w:rPr>
        <w:t xml:space="preserve"> and corresponding 95% Confidence interval.</w:t>
      </w:r>
    </w:p>
    <w:p w14:paraId="4815A362" w14:textId="774757D9" w:rsidR="00232CEF" w:rsidRDefault="00232CEF" w:rsidP="00493892">
      <w:pPr>
        <w:spacing w:before="240" w:line="240" w:lineRule="auto"/>
        <w:rPr>
          <w:rFonts w:asciiTheme="majorBidi" w:hAnsiTheme="majorBidi" w:cstheme="majorBidi"/>
          <w:sz w:val="20"/>
          <w:szCs w:val="20"/>
        </w:rPr>
      </w:pPr>
      <w:r>
        <w:rPr>
          <w:rFonts w:ascii="Times New Roman" w:hAnsi="Times New Roman" w:cs="Times New Roman"/>
          <w:b/>
          <w:sz w:val="20"/>
          <w:szCs w:val="24"/>
        </w:rPr>
        <w:t>Findings:</w:t>
      </w:r>
      <w:r>
        <w:rPr>
          <w:rFonts w:ascii="Times New Roman" w:hAnsi="Times New Roman" w:cs="Times New Roman"/>
          <w:b/>
          <w:sz w:val="20"/>
          <w:szCs w:val="24"/>
        </w:rPr>
        <w:t xml:space="preserve"> </w:t>
      </w:r>
      <w:r w:rsidRPr="00232CEF">
        <w:rPr>
          <w:rFonts w:ascii="Times New Roman" w:hAnsi="Times New Roman" w:cs="Times New Roman"/>
          <w:sz w:val="20"/>
          <w:szCs w:val="20"/>
        </w:rPr>
        <w:t xml:space="preserve">Nine studies were included for the quantitative and qualitative analysis. The quantitative analysis showed statistically significant raised plasma cfDNA levels in SLE patients in comparison to healthy control (MD= 15.07 [10.04, 20.09]; p&lt; 0.00001; </w:t>
      </w:r>
      <w:r w:rsidRPr="00232CEF">
        <w:rPr>
          <w:rFonts w:ascii="Times New Roman" w:hAnsi="Times New Roman" w:cs="Times New Roman"/>
          <w:i/>
          <w:iCs/>
          <w:sz w:val="20"/>
          <w:szCs w:val="20"/>
        </w:rPr>
        <w:t>I</w:t>
      </w:r>
      <w:r w:rsidRPr="00232CEF">
        <w:rPr>
          <w:rFonts w:ascii="Times New Roman" w:hAnsi="Times New Roman" w:cs="Times New Roman"/>
          <w:i/>
          <w:iCs/>
          <w:sz w:val="20"/>
          <w:szCs w:val="20"/>
          <w:vertAlign w:val="superscript"/>
        </w:rPr>
        <w:t>2</w:t>
      </w:r>
      <w:r w:rsidRPr="00232CEF">
        <w:rPr>
          <w:rFonts w:ascii="Times New Roman" w:hAnsi="Times New Roman" w:cs="Times New Roman"/>
          <w:sz w:val="20"/>
          <w:szCs w:val="20"/>
        </w:rPr>
        <w:t xml:space="preserve">= 98%). The qualitative analysis method was employed to evaluate the factors correlating with the raised cfDNA level in SLE patients. Six included studies showed weak correlation of cfDNA with the SLEDAI score. Demographic characteristics such as age, gender, and duration of disease were not found to be associated with raised cfDNA. However, prominent correlation of cfDNA with </w:t>
      </w:r>
      <w:r>
        <w:rPr>
          <w:rFonts w:ascii="Times New Roman" w:hAnsi="Times New Roman" w:cs="Times New Roman"/>
          <w:sz w:val="20"/>
          <w:szCs w:val="20"/>
        </w:rPr>
        <w:t>anti-</w:t>
      </w:r>
      <w:r w:rsidRPr="00232CEF">
        <w:rPr>
          <w:rFonts w:ascii="Times New Roman" w:hAnsi="Times New Roman" w:cs="Times New Roman"/>
          <w:sz w:val="20"/>
          <w:szCs w:val="20"/>
        </w:rPr>
        <w:t xml:space="preserve">dsDNA-antibody and inflammatory </w:t>
      </w:r>
      <w:r w:rsidR="00D31592">
        <w:rPr>
          <w:rFonts w:ascii="Times New Roman" w:hAnsi="Times New Roman" w:cs="Times New Roman"/>
          <w:sz w:val="20"/>
          <w:szCs w:val="20"/>
        </w:rPr>
        <w:t>markers</w:t>
      </w:r>
      <w:r>
        <w:rPr>
          <w:rFonts w:ascii="Times New Roman" w:hAnsi="Times New Roman" w:cs="Times New Roman"/>
          <w:sz w:val="20"/>
          <w:szCs w:val="20"/>
        </w:rPr>
        <w:t xml:space="preserve"> was established</w:t>
      </w:r>
      <w:r w:rsidRPr="00232CEF">
        <w:rPr>
          <w:rFonts w:ascii="Times New Roman" w:hAnsi="Times New Roman" w:cs="Times New Roman"/>
          <w:sz w:val="20"/>
          <w:szCs w:val="20"/>
        </w:rPr>
        <w:t xml:space="preserve">. </w:t>
      </w:r>
      <w:r w:rsidRPr="00232CEF">
        <w:rPr>
          <w:rFonts w:asciiTheme="majorBidi" w:hAnsiTheme="majorBidi" w:cstheme="majorBidi"/>
          <w:sz w:val="20"/>
          <w:szCs w:val="20"/>
        </w:rPr>
        <w:t>The mtDNA shows correlation with the SLE, however, the data regarding mtDNA was scanty.</w:t>
      </w:r>
    </w:p>
    <w:p w14:paraId="62CC2AC8" w14:textId="77777777" w:rsidR="00D31592" w:rsidRDefault="00D31592" w:rsidP="00493892">
      <w:pPr>
        <w:keepNext/>
        <w:spacing w:before="240" w:line="240" w:lineRule="auto"/>
        <w:jc w:val="center"/>
      </w:pPr>
      <w:r>
        <w:rPr>
          <w:noProof/>
        </w:rPr>
        <w:drawing>
          <wp:inline distT="0" distB="0" distL="0" distR="0" wp14:anchorId="5C3DFD28" wp14:editId="5125CBC9">
            <wp:extent cx="5731510" cy="2430780"/>
            <wp:effectExtent l="0" t="0" r="254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31510" cy="2430780"/>
                    </a:xfrm>
                    <a:prstGeom prst="rect">
                      <a:avLst/>
                    </a:prstGeom>
                    <a:noFill/>
                    <a:ln>
                      <a:noFill/>
                    </a:ln>
                  </pic:spPr>
                </pic:pic>
              </a:graphicData>
            </a:graphic>
          </wp:inline>
        </w:drawing>
      </w:r>
    </w:p>
    <w:p w14:paraId="1CFCE7D2" w14:textId="4D31CA96" w:rsidR="00D31592" w:rsidRPr="00493892" w:rsidRDefault="00D31592" w:rsidP="00493892">
      <w:pPr>
        <w:pStyle w:val="Caption"/>
        <w:spacing w:before="240"/>
        <w:jc w:val="center"/>
        <w:rPr>
          <w:rFonts w:ascii="Times New Roman" w:hAnsi="Times New Roman" w:cs="Times New Roman"/>
          <w:b/>
          <w:bCs/>
          <w:sz w:val="20"/>
          <w:szCs w:val="20"/>
        </w:rPr>
      </w:pPr>
      <w:r w:rsidRPr="00493892">
        <w:rPr>
          <w:rFonts w:ascii="Times New Roman" w:hAnsi="Times New Roman" w:cs="Times New Roman"/>
          <w:b/>
          <w:bCs/>
          <w:sz w:val="20"/>
          <w:szCs w:val="20"/>
        </w:rPr>
        <w:t xml:space="preserve">Figure </w:t>
      </w:r>
      <w:r w:rsidRPr="00493892">
        <w:rPr>
          <w:rFonts w:ascii="Times New Roman" w:hAnsi="Times New Roman" w:cs="Times New Roman"/>
          <w:b/>
          <w:bCs/>
          <w:sz w:val="20"/>
          <w:szCs w:val="20"/>
        </w:rPr>
        <w:fldChar w:fldCharType="begin"/>
      </w:r>
      <w:r w:rsidRPr="00493892">
        <w:rPr>
          <w:rFonts w:ascii="Times New Roman" w:hAnsi="Times New Roman" w:cs="Times New Roman"/>
          <w:b/>
          <w:bCs/>
          <w:sz w:val="20"/>
          <w:szCs w:val="20"/>
        </w:rPr>
        <w:instrText xml:space="preserve"> SEQ Figure \* ARABIC </w:instrText>
      </w:r>
      <w:r w:rsidRPr="00493892">
        <w:rPr>
          <w:rFonts w:ascii="Times New Roman" w:hAnsi="Times New Roman" w:cs="Times New Roman"/>
          <w:b/>
          <w:bCs/>
          <w:sz w:val="20"/>
          <w:szCs w:val="20"/>
        </w:rPr>
        <w:fldChar w:fldCharType="separate"/>
      </w:r>
      <w:r w:rsidRPr="00493892">
        <w:rPr>
          <w:rFonts w:ascii="Times New Roman" w:hAnsi="Times New Roman" w:cs="Times New Roman"/>
          <w:b/>
          <w:bCs/>
          <w:noProof/>
          <w:sz w:val="20"/>
          <w:szCs w:val="20"/>
        </w:rPr>
        <w:t>1</w:t>
      </w:r>
      <w:r w:rsidRPr="00493892">
        <w:rPr>
          <w:rFonts w:ascii="Times New Roman" w:hAnsi="Times New Roman" w:cs="Times New Roman"/>
          <w:b/>
          <w:bCs/>
          <w:sz w:val="20"/>
          <w:szCs w:val="20"/>
        </w:rPr>
        <w:fldChar w:fldCharType="end"/>
      </w:r>
      <w:r w:rsidRPr="00493892">
        <w:rPr>
          <w:rFonts w:ascii="Times New Roman" w:hAnsi="Times New Roman" w:cs="Times New Roman"/>
          <w:b/>
          <w:bCs/>
          <w:sz w:val="20"/>
          <w:szCs w:val="20"/>
        </w:rPr>
        <w:t>. Forest plot determining the difference in cfDNA in SLE patients in comparison to healthy control</w:t>
      </w:r>
    </w:p>
    <w:p w14:paraId="6D590243" w14:textId="77777777" w:rsidR="00D31592" w:rsidRDefault="00D31592" w:rsidP="00493892">
      <w:pPr>
        <w:spacing w:before="240" w:line="240" w:lineRule="auto"/>
        <w:rPr>
          <w:rFonts w:ascii="Times New Roman" w:hAnsi="Times New Roman" w:cs="Times New Roman"/>
          <w:b/>
          <w:sz w:val="20"/>
          <w:szCs w:val="24"/>
        </w:rPr>
      </w:pPr>
    </w:p>
    <w:p w14:paraId="6DA9569F" w14:textId="77777777" w:rsidR="00D31592" w:rsidRDefault="00D31592" w:rsidP="00493892">
      <w:pPr>
        <w:spacing w:before="240" w:line="240" w:lineRule="auto"/>
        <w:rPr>
          <w:rFonts w:ascii="Times New Roman" w:hAnsi="Times New Roman" w:cs="Times New Roman"/>
          <w:b/>
          <w:sz w:val="20"/>
          <w:szCs w:val="24"/>
        </w:rPr>
      </w:pPr>
    </w:p>
    <w:p w14:paraId="1EDAB016" w14:textId="507CCB32" w:rsidR="00232CEF" w:rsidRDefault="00232CEF" w:rsidP="00493892">
      <w:pPr>
        <w:spacing w:before="240" w:line="240" w:lineRule="auto"/>
        <w:rPr>
          <w:rFonts w:asciiTheme="majorBidi" w:hAnsiTheme="majorBidi" w:cstheme="majorBidi"/>
          <w:sz w:val="20"/>
          <w:szCs w:val="20"/>
        </w:rPr>
      </w:pPr>
      <w:r>
        <w:rPr>
          <w:rFonts w:ascii="Times New Roman" w:hAnsi="Times New Roman" w:cs="Times New Roman"/>
          <w:b/>
          <w:sz w:val="20"/>
          <w:szCs w:val="24"/>
        </w:rPr>
        <w:lastRenderedPageBreak/>
        <w:t xml:space="preserve">Conclusion: </w:t>
      </w:r>
      <w:r w:rsidRPr="00232CEF">
        <w:rPr>
          <w:rFonts w:asciiTheme="majorBidi" w:hAnsiTheme="majorBidi" w:cstheme="majorBidi"/>
          <w:sz w:val="20"/>
          <w:szCs w:val="20"/>
        </w:rPr>
        <w:t xml:space="preserve">The results showed statistically significant increase in the plasma cfDNA concentration in SLE patients in comparison to healthy control. However, the quantitative analysis cannot establish a strong result regarding the factors influencing the rise in cfDNA level. </w:t>
      </w:r>
      <w:r w:rsidRPr="00232CEF">
        <w:rPr>
          <w:rFonts w:ascii="Times New Roman" w:hAnsi="Times New Roman" w:cs="Times New Roman"/>
          <w:sz w:val="20"/>
          <w:szCs w:val="20"/>
        </w:rPr>
        <w:t xml:space="preserve">Anti-dsDNA-antibody and inflammatory markers were associated with raised cfDNA. We conclude </w:t>
      </w:r>
      <w:r w:rsidRPr="00232CEF">
        <w:rPr>
          <w:rFonts w:asciiTheme="majorBidi" w:hAnsiTheme="majorBidi" w:cstheme="majorBidi"/>
          <w:sz w:val="20"/>
          <w:szCs w:val="20"/>
        </w:rPr>
        <w:t>the usage of cfDNA as a diagnostic and prognostic biomarker remains an emerging but not a definite biomarker in SLE patients, for which more extensive research is needed to further strengthen the stance presented.</w:t>
      </w:r>
    </w:p>
    <w:p w14:paraId="5E8C0C5D" w14:textId="30240F5B" w:rsidR="00D31592" w:rsidRPr="00D31592" w:rsidRDefault="00D31592" w:rsidP="00493892">
      <w:pPr>
        <w:spacing w:before="240" w:line="240" w:lineRule="auto"/>
        <w:rPr>
          <w:rFonts w:ascii="Times New Roman" w:hAnsi="Times New Roman" w:cs="Times New Roman"/>
          <w:b/>
          <w:sz w:val="24"/>
          <w:szCs w:val="24"/>
        </w:rPr>
      </w:pPr>
      <w:r>
        <w:rPr>
          <w:rFonts w:ascii="Times New Roman" w:hAnsi="Times New Roman" w:cs="Times New Roman"/>
          <w:b/>
          <w:sz w:val="24"/>
          <w:szCs w:val="24"/>
        </w:rPr>
        <w:t>References</w:t>
      </w:r>
    </w:p>
    <w:p w14:paraId="4F456B6B" w14:textId="726DDA51" w:rsidR="00D31592" w:rsidRPr="00493892" w:rsidRDefault="00D31592" w:rsidP="00493892">
      <w:pPr>
        <w:pBdr>
          <w:top w:val="nil"/>
          <w:left w:val="nil"/>
          <w:bottom w:val="nil"/>
          <w:right w:val="nil"/>
          <w:between w:val="nil"/>
        </w:pBdr>
        <w:spacing w:before="240" w:line="240" w:lineRule="auto"/>
        <w:rPr>
          <w:rFonts w:ascii="Times New Roman" w:hAnsi="Times New Roman" w:cs="Times New Roman"/>
          <w:color w:val="000000"/>
          <w:sz w:val="20"/>
          <w:szCs w:val="20"/>
        </w:rPr>
      </w:pPr>
      <w:r w:rsidRPr="00493892">
        <w:rPr>
          <w:rFonts w:ascii="Times New Roman" w:eastAsia="Quattrocento Sans" w:hAnsi="Times New Roman" w:cs="Times New Roman"/>
          <w:color w:val="212121"/>
          <w:sz w:val="20"/>
          <w:szCs w:val="20"/>
        </w:rPr>
        <w:t xml:space="preserve">1. </w:t>
      </w:r>
      <w:proofErr w:type="spellStart"/>
      <w:r w:rsidRPr="00493892">
        <w:rPr>
          <w:rFonts w:ascii="Times New Roman" w:hAnsi="Times New Roman" w:cs="Times New Roman"/>
          <w:color w:val="212121"/>
          <w:sz w:val="20"/>
          <w:szCs w:val="20"/>
          <w:shd w:val="clear" w:color="auto" w:fill="FFFFFF"/>
        </w:rPr>
        <w:t>Giaglis</w:t>
      </w:r>
      <w:proofErr w:type="spellEnd"/>
      <w:r w:rsidRPr="00493892">
        <w:rPr>
          <w:rFonts w:ascii="Times New Roman" w:hAnsi="Times New Roman" w:cs="Times New Roman"/>
          <w:color w:val="212121"/>
          <w:sz w:val="20"/>
          <w:szCs w:val="20"/>
          <w:shd w:val="clear" w:color="auto" w:fill="FFFFFF"/>
        </w:rPr>
        <w:t xml:space="preserve">, S., </w:t>
      </w:r>
      <w:proofErr w:type="spellStart"/>
      <w:r w:rsidRPr="00493892">
        <w:rPr>
          <w:rFonts w:ascii="Times New Roman" w:hAnsi="Times New Roman" w:cs="Times New Roman"/>
          <w:color w:val="212121"/>
          <w:sz w:val="20"/>
          <w:szCs w:val="20"/>
          <w:shd w:val="clear" w:color="auto" w:fill="FFFFFF"/>
        </w:rPr>
        <w:t>Daoudlarian</w:t>
      </w:r>
      <w:proofErr w:type="spellEnd"/>
      <w:r w:rsidRPr="00493892">
        <w:rPr>
          <w:rFonts w:ascii="Times New Roman" w:hAnsi="Times New Roman" w:cs="Times New Roman"/>
          <w:color w:val="212121"/>
          <w:sz w:val="20"/>
          <w:szCs w:val="20"/>
          <w:shd w:val="clear" w:color="auto" w:fill="FFFFFF"/>
        </w:rPr>
        <w:t xml:space="preserve">, D., Voll, R. E., Kyburz, D., </w:t>
      </w:r>
      <w:proofErr w:type="spellStart"/>
      <w:r w:rsidRPr="00493892">
        <w:rPr>
          <w:rFonts w:ascii="Times New Roman" w:hAnsi="Times New Roman" w:cs="Times New Roman"/>
          <w:color w:val="212121"/>
          <w:sz w:val="20"/>
          <w:szCs w:val="20"/>
          <w:shd w:val="clear" w:color="auto" w:fill="FFFFFF"/>
        </w:rPr>
        <w:t>Venhoff</w:t>
      </w:r>
      <w:proofErr w:type="spellEnd"/>
      <w:r w:rsidRPr="00493892">
        <w:rPr>
          <w:rFonts w:ascii="Times New Roman" w:hAnsi="Times New Roman" w:cs="Times New Roman"/>
          <w:color w:val="212121"/>
          <w:sz w:val="20"/>
          <w:szCs w:val="20"/>
          <w:shd w:val="clear" w:color="auto" w:fill="FFFFFF"/>
        </w:rPr>
        <w:t>, N., &amp; Walker, U. A. (2021). Circulating mitochondrial DNA copy numbers represent a sensitive marker for diagnosis and monitoring of disease activity in systemic lupus erythematosus. </w:t>
      </w:r>
      <w:r w:rsidRPr="00493892">
        <w:rPr>
          <w:rFonts w:ascii="Times New Roman" w:hAnsi="Times New Roman" w:cs="Times New Roman"/>
          <w:i/>
          <w:iCs/>
          <w:color w:val="212121"/>
          <w:sz w:val="20"/>
          <w:szCs w:val="20"/>
          <w:shd w:val="clear" w:color="auto" w:fill="FFFFFF"/>
        </w:rPr>
        <w:t>RMD open</w:t>
      </w:r>
      <w:r w:rsidRPr="00493892">
        <w:rPr>
          <w:rFonts w:ascii="Times New Roman" w:hAnsi="Times New Roman" w:cs="Times New Roman"/>
          <w:color w:val="212121"/>
          <w:sz w:val="20"/>
          <w:szCs w:val="20"/>
          <w:shd w:val="clear" w:color="auto" w:fill="FFFFFF"/>
        </w:rPr>
        <w:t>, </w:t>
      </w:r>
      <w:r w:rsidRPr="00493892">
        <w:rPr>
          <w:rFonts w:ascii="Times New Roman" w:hAnsi="Times New Roman" w:cs="Times New Roman"/>
          <w:i/>
          <w:iCs/>
          <w:color w:val="212121"/>
          <w:sz w:val="20"/>
          <w:szCs w:val="20"/>
          <w:shd w:val="clear" w:color="auto" w:fill="FFFFFF"/>
        </w:rPr>
        <w:t>7</w:t>
      </w:r>
      <w:r w:rsidRPr="00493892">
        <w:rPr>
          <w:rFonts w:ascii="Times New Roman" w:hAnsi="Times New Roman" w:cs="Times New Roman"/>
          <w:color w:val="212121"/>
          <w:sz w:val="20"/>
          <w:szCs w:val="20"/>
          <w:shd w:val="clear" w:color="auto" w:fill="FFFFFF"/>
        </w:rPr>
        <w:t>(3), e002010. https://doi.org/10.1136/rmdopen-2021-002010</w:t>
      </w:r>
    </w:p>
    <w:p w14:paraId="3536CAA1" w14:textId="7B5D4178" w:rsidR="00D31592" w:rsidRPr="00493892" w:rsidRDefault="00D31592" w:rsidP="00493892">
      <w:pPr>
        <w:pBdr>
          <w:top w:val="nil"/>
          <w:left w:val="nil"/>
          <w:bottom w:val="nil"/>
          <w:right w:val="nil"/>
          <w:between w:val="nil"/>
        </w:pBdr>
        <w:spacing w:before="240" w:line="240" w:lineRule="auto"/>
        <w:rPr>
          <w:rFonts w:ascii="Times New Roman" w:hAnsi="Times New Roman" w:cs="Times New Roman"/>
          <w:sz w:val="20"/>
          <w:szCs w:val="20"/>
        </w:rPr>
      </w:pPr>
      <w:r w:rsidRPr="00493892">
        <w:rPr>
          <w:rFonts w:ascii="Times New Roman" w:hAnsi="Times New Roman" w:cs="Times New Roman"/>
          <w:color w:val="000000"/>
          <w:sz w:val="20"/>
          <w:szCs w:val="20"/>
        </w:rPr>
        <w:t xml:space="preserve">2. Abdelal, I, Zakaria, M, Sharaf, M, </w:t>
      </w:r>
      <w:proofErr w:type="spellStart"/>
      <w:r w:rsidRPr="00493892">
        <w:rPr>
          <w:rFonts w:ascii="Times New Roman" w:hAnsi="Times New Roman" w:cs="Times New Roman"/>
          <w:color w:val="000000"/>
          <w:sz w:val="20"/>
          <w:szCs w:val="20"/>
        </w:rPr>
        <w:t>Elakad</w:t>
      </w:r>
      <w:proofErr w:type="spellEnd"/>
      <w:r w:rsidRPr="00493892">
        <w:rPr>
          <w:rFonts w:ascii="Times New Roman" w:hAnsi="Times New Roman" w:cs="Times New Roman"/>
          <w:color w:val="000000"/>
          <w:sz w:val="20"/>
          <w:szCs w:val="20"/>
        </w:rPr>
        <w:t>, G. (2016). Levels of plasma cell-free DNA and its correlation with disease activity in rheumatoid arthritis and systemic lupus erythematosus patients. The Egyptian Rheumatologist. 38. 10.1016/j.ejr.2016.06.005.</w:t>
      </w:r>
    </w:p>
    <w:p w14:paraId="12084567" w14:textId="43A59619" w:rsidR="00D31592" w:rsidRPr="00493892" w:rsidRDefault="00D31592" w:rsidP="00493892">
      <w:pPr>
        <w:pBdr>
          <w:top w:val="nil"/>
          <w:left w:val="nil"/>
          <w:bottom w:val="nil"/>
          <w:right w:val="nil"/>
          <w:between w:val="nil"/>
        </w:pBdr>
        <w:spacing w:before="240" w:line="240" w:lineRule="auto"/>
        <w:rPr>
          <w:rFonts w:ascii="Times New Roman" w:hAnsi="Times New Roman" w:cs="Times New Roman"/>
          <w:sz w:val="20"/>
          <w:szCs w:val="20"/>
        </w:rPr>
      </w:pPr>
      <w:r w:rsidRPr="00493892">
        <w:rPr>
          <w:rFonts w:ascii="Times New Roman" w:eastAsia="Quattrocento Sans" w:hAnsi="Times New Roman" w:cs="Times New Roman"/>
          <w:color w:val="212121"/>
          <w:sz w:val="20"/>
          <w:szCs w:val="20"/>
        </w:rPr>
        <w:t>3. Tug, S., Helmig, S., Menke, J., Zahn, D., Kubiak, T., Schwarting, A., &amp; Simon, P. (2014). Correlation between cell free DNA levels and medical evaluation of disease progression in systemic lupus erythematosus patients. </w:t>
      </w:r>
      <w:r w:rsidRPr="00493892">
        <w:rPr>
          <w:rFonts w:ascii="Times New Roman" w:eastAsia="Quattrocento Sans" w:hAnsi="Times New Roman" w:cs="Times New Roman"/>
          <w:i/>
          <w:color w:val="212121"/>
          <w:sz w:val="20"/>
          <w:szCs w:val="20"/>
        </w:rPr>
        <w:t>Cellular immunology</w:t>
      </w:r>
      <w:r w:rsidRPr="00493892">
        <w:rPr>
          <w:rFonts w:ascii="Times New Roman" w:eastAsia="Quattrocento Sans" w:hAnsi="Times New Roman" w:cs="Times New Roman"/>
          <w:color w:val="212121"/>
          <w:sz w:val="20"/>
          <w:szCs w:val="20"/>
        </w:rPr>
        <w:t>, </w:t>
      </w:r>
      <w:r w:rsidRPr="00493892">
        <w:rPr>
          <w:rFonts w:ascii="Times New Roman" w:eastAsia="Quattrocento Sans" w:hAnsi="Times New Roman" w:cs="Times New Roman"/>
          <w:i/>
          <w:color w:val="212121"/>
          <w:sz w:val="20"/>
          <w:szCs w:val="20"/>
        </w:rPr>
        <w:t>292</w:t>
      </w:r>
      <w:r w:rsidRPr="00493892">
        <w:rPr>
          <w:rFonts w:ascii="Times New Roman" w:eastAsia="Quattrocento Sans" w:hAnsi="Times New Roman" w:cs="Times New Roman"/>
          <w:color w:val="212121"/>
          <w:sz w:val="20"/>
          <w:szCs w:val="20"/>
        </w:rPr>
        <w:t xml:space="preserve">(1-2), 32–39. </w:t>
      </w:r>
      <w:hyperlink r:id="rId5">
        <w:r w:rsidRPr="00493892">
          <w:rPr>
            <w:rFonts w:ascii="Times New Roman" w:eastAsia="Quattrocento Sans" w:hAnsi="Times New Roman" w:cs="Times New Roman"/>
            <w:color w:val="0563C1"/>
            <w:sz w:val="20"/>
            <w:szCs w:val="20"/>
            <w:u w:val="single"/>
          </w:rPr>
          <w:t>https://doi.org/10.1016/j.cellimm.2014.08.002</w:t>
        </w:r>
      </w:hyperlink>
    </w:p>
    <w:p w14:paraId="625B3BC2" w14:textId="427C2083" w:rsidR="00D31592" w:rsidRPr="00493892" w:rsidRDefault="00D31592" w:rsidP="00493892">
      <w:pPr>
        <w:pBdr>
          <w:top w:val="nil"/>
          <w:left w:val="nil"/>
          <w:bottom w:val="nil"/>
          <w:right w:val="nil"/>
          <w:between w:val="nil"/>
        </w:pBdr>
        <w:spacing w:before="240" w:line="240" w:lineRule="auto"/>
        <w:rPr>
          <w:rFonts w:ascii="Times New Roman" w:hAnsi="Times New Roman" w:cs="Times New Roman"/>
          <w:sz w:val="20"/>
          <w:szCs w:val="20"/>
        </w:rPr>
      </w:pPr>
      <w:r w:rsidRPr="00493892">
        <w:rPr>
          <w:rFonts w:ascii="Times New Roman" w:eastAsia="Quattrocento Sans" w:hAnsi="Times New Roman" w:cs="Times New Roman"/>
          <w:color w:val="212121"/>
          <w:sz w:val="20"/>
          <w:szCs w:val="20"/>
        </w:rPr>
        <w:t>4. Zhang, S., Lu, X., Shu, X., Tian, X., Yang, H., Yang, W., Zhang, Y., &amp; Wang, G. (2014). Elevated plasma cfDNA may be associated with active lupus nephritis and partially attributed to abnormal regulation of neutrophil extracellular traps (NETs) in patients with systemic lupus erythematosus. </w:t>
      </w:r>
      <w:r w:rsidRPr="00493892">
        <w:rPr>
          <w:rFonts w:ascii="Times New Roman" w:eastAsia="Quattrocento Sans" w:hAnsi="Times New Roman" w:cs="Times New Roman"/>
          <w:i/>
          <w:color w:val="212121"/>
          <w:sz w:val="20"/>
          <w:szCs w:val="20"/>
        </w:rPr>
        <w:t>Internal medicine (Tokyo, Japan)</w:t>
      </w:r>
      <w:r w:rsidRPr="00493892">
        <w:rPr>
          <w:rFonts w:ascii="Times New Roman" w:eastAsia="Quattrocento Sans" w:hAnsi="Times New Roman" w:cs="Times New Roman"/>
          <w:color w:val="212121"/>
          <w:sz w:val="20"/>
          <w:szCs w:val="20"/>
        </w:rPr>
        <w:t>, </w:t>
      </w:r>
      <w:r w:rsidRPr="00493892">
        <w:rPr>
          <w:rFonts w:ascii="Times New Roman" w:eastAsia="Quattrocento Sans" w:hAnsi="Times New Roman" w:cs="Times New Roman"/>
          <w:i/>
          <w:color w:val="212121"/>
          <w:sz w:val="20"/>
          <w:szCs w:val="20"/>
        </w:rPr>
        <w:t>53</w:t>
      </w:r>
      <w:r w:rsidRPr="00493892">
        <w:rPr>
          <w:rFonts w:ascii="Times New Roman" w:eastAsia="Quattrocento Sans" w:hAnsi="Times New Roman" w:cs="Times New Roman"/>
          <w:color w:val="212121"/>
          <w:sz w:val="20"/>
          <w:szCs w:val="20"/>
        </w:rPr>
        <w:t xml:space="preserve">(24), 2763–2771. </w:t>
      </w:r>
      <w:hyperlink r:id="rId6">
        <w:r w:rsidRPr="00493892">
          <w:rPr>
            <w:rFonts w:ascii="Times New Roman" w:eastAsia="Quattrocento Sans" w:hAnsi="Times New Roman" w:cs="Times New Roman"/>
            <w:color w:val="0563C1"/>
            <w:sz w:val="20"/>
            <w:szCs w:val="20"/>
            <w:u w:val="single"/>
          </w:rPr>
          <w:t>https://doi.org/10.2169/internalmedicine.53.2570</w:t>
        </w:r>
      </w:hyperlink>
    </w:p>
    <w:p w14:paraId="0A2805BA" w14:textId="03EEE77E" w:rsidR="00DC49E9" w:rsidRPr="00493892" w:rsidRDefault="00D31592" w:rsidP="00493892">
      <w:pPr>
        <w:pBdr>
          <w:top w:val="nil"/>
          <w:left w:val="nil"/>
          <w:bottom w:val="nil"/>
          <w:right w:val="nil"/>
          <w:between w:val="nil"/>
        </w:pBdr>
        <w:spacing w:before="240" w:line="240" w:lineRule="auto"/>
        <w:rPr>
          <w:rFonts w:ascii="Times New Roman" w:hAnsi="Times New Roman" w:cs="Times New Roman"/>
          <w:sz w:val="20"/>
          <w:szCs w:val="20"/>
        </w:rPr>
      </w:pPr>
      <w:r w:rsidRPr="00493892">
        <w:rPr>
          <w:rFonts w:ascii="Times New Roman" w:hAnsi="Times New Roman" w:cs="Times New Roman"/>
          <w:color w:val="000000"/>
          <w:sz w:val="20"/>
          <w:szCs w:val="20"/>
        </w:rPr>
        <w:t xml:space="preserve">5. </w:t>
      </w:r>
      <w:r w:rsidRPr="00493892">
        <w:rPr>
          <w:rFonts w:ascii="Times New Roman" w:hAnsi="Times New Roman" w:cs="Times New Roman"/>
          <w:sz w:val="20"/>
          <w:szCs w:val="20"/>
        </w:rPr>
        <w:t xml:space="preserve">Hendy, O. M., </w:t>
      </w:r>
      <w:proofErr w:type="spellStart"/>
      <w:r w:rsidRPr="00493892">
        <w:rPr>
          <w:rFonts w:ascii="Times New Roman" w:hAnsi="Times New Roman" w:cs="Times New Roman"/>
          <w:sz w:val="20"/>
          <w:szCs w:val="20"/>
        </w:rPr>
        <w:t>Motalib</w:t>
      </w:r>
      <w:proofErr w:type="spellEnd"/>
      <w:r w:rsidRPr="00493892">
        <w:rPr>
          <w:rFonts w:ascii="Times New Roman" w:hAnsi="Times New Roman" w:cs="Times New Roman"/>
          <w:sz w:val="20"/>
          <w:szCs w:val="20"/>
        </w:rPr>
        <w:t xml:space="preserve">, T. A., El Shafie, M. A., Khalaf, F. A., Kotb, S. E., Khalil, A., &amp; Ali, S. R. (2016). Circulating cell free DNA as a predictor of systemic lupus erythematosus severity and monitoring of therapy. </w:t>
      </w:r>
      <w:r w:rsidRPr="00493892">
        <w:rPr>
          <w:rFonts w:ascii="Times New Roman" w:hAnsi="Times New Roman" w:cs="Times New Roman"/>
          <w:i/>
          <w:iCs/>
          <w:sz w:val="20"/>
          <w:szCs w:val="20"/>
        </w:rPr>
        <w:t>Egyptian Journal of Medical Human Genetics</w:t>
      </w:r>
      <w:r w:rsidRPr="00493892">
        <w:rPr>
          <w:rFonts w:ascii="Times New Roman" w:hAnsi="Times New Roman" w:cs="Times New Roman"/>
          <w:sz w:val="20"/>
          <w:szCs w:val="20"/>
        </w:rPr>
        <w:t xml:space="preserve">, </w:t>
      </w:r>
      <w:r w:rsidRPr="00493892">
        <w:rPr>
          <w:rFonts w:ascii="Times New Roman" w:hAnsi="Times New Roman" w:cs="Times New Roman"/>
          <w:i/>
          <w:iCs/>
          <w:sz w:val="20"/>
          <w:szCs w:val="20"/>
        </w:rPr>
        <w:t>17</w:t>
      </w:r>
      <w:r w:rsidRPr="00493892">
        <w:rPr>
          <w:rFonts w:ascii="Times New Roman" w:hAnsi="Times New Roman" w:cs="Times New Roman"/>
          <w:sz w:val="20"/>
          <w:szCs w:val="20"/>
        </w:rPr>
        <w:t>(1), 79-85. https://doi.org/10.1016/j.ejmhg.2015.07.001</w:t>
      </w:r>
    </w:p>
    <w:p w14:paraId="3E9BF184" w14:textId="77777777" w:rsidR="00D31592" w:rsidRDefault="00D31592" w:rsidP="00493892">
      <w:pPr>
        <w:tabs>
          <w:tab w:val="left" w:pos="384"/>
        </w:tabs>
        <w:spacing w:before="240" w:line="240" w:lineRule="auto"/>
        <w:rPr>
          <w:rFonts w:ascii="Times New Roman" w:hAnsi="Times New Roman" w:cs="Times New Roman"/>
          <w:b/>
          <w:sz w:val="24"/>
          <w:szCs w:val="24"/>
        </w:rPr>
      </w:pPr>
      <w:r>
        <w:rPr>
          <w:rFonts w:ascii="Times New Roman" w:hAnsi="Times New Roman" w:cs="Times New Roman"/>
          <w:b/>
          <w:sz w:val="24"/>
          <w:szCs w:val="24"/>
        </w:rPr>
        <w:t>Biography</w:t>
      </w:r>
    </w:p>
    <w:p w14:paraId="2F2E282A" w14:textId="0AEB72FA" w:rsidR="00D31592" w:rsidRPr="00493892" w:rsidRDefault="00D31592" w:rsidP="00493892">
      <w:pPr>
        <w:pStyle w:val="BodyText"/>
        <w:spacing w:before="240" w:after="200"/>
        <w:jc w:val="both"/>
        <w:rPr>
          <w:rFonts w:ascii="Times New Roman" w:hAnsi="Times New Roman" w:cs="Times New Roman"/>
          <w:bCs/>
          <w:sz w:val="20"/>
          <w:szCs w:val="24"/>
        </w:rPr>
      </w:pPr>
      <w:r w:rsidRPr="00493892">
        <w:rPr>
          <w:rFonts w:ascii="Times New Roman" w:hAnsi="Times New Roman" w:cs="Times New Roman"/>
          <w:bCs/>
          <w:sz w:val="20"/>
          <w:szCs w:val="24"/>
        </w:rPr>
        <w:t xml:space="preserve">Shayan Ali Irfan is a final year </w:t>
      </w:r>
      <w:r w:rsidR="00D3135A" w:rsidRPr="00493892">
        <w:rPr>
          <w:rFonts w:ascii="Times New Roman" w:hAnsi="Times New Roman" w:cs="Times New Roman"/>
          <w:bCs/>
          <w:sz w:val="20"/>
          <w:szCs w:val="24"/>
        </w:rPr>
        <w:t xml:space="preserve">student </w:t>
      </w:r>
      <w:r w:rsidR="00493892" w:rsidRPr="00493892">
        <w:rPr>
          <w:rFonts w:ascii="Times New Roman" w:hAnsi="Times New Roman" w:cs="Times New Roman"/>
          <w:bCs/>
          <w:sz w:val="20"/>
          <w:szCs w:val="24"/>
        </w:rPr>
        <w:t>at</w:t>
      </w:r>
      <w:r w:rsidR="00D3135A" w:rsidRPr="00493892">
        <w:rPr>
          <w:rFonts w:ascii="Times New Roman" w:hAnsi="Times New Roman" w:cs="Times New Roman"/>
          <w:bCs/>
          <w:sz w:val="20"/>
          <w:szCs w:val="24"/>
        </w:rPr>
        <w:t xml:space="preserve"> Dow University of Health Sciences, Pakistan. He has been working in several research articles with well-known researchers and Medical Doctors since 2020. He is an expert in literature review, meta-analysis, systematic review, and statistical analysis. He has a couple of published articles on Rheumatology, particularly working on Systemic Lupus Erythematous and Multiple Sclerosis since 2021. He is a research enthusiast influencing</w:t>
      </w:r>
      <w:r w:rsidR="00493892" w:rsidRPr="00493892">
        <w:rPr>
          <w:rFonts w:ascii="Times New Roman" w:hAnsi="Times New Roman" w:cs="Times New Roman"/>
          <w:bCs/>
          <w:sz w:val="20"/>
          <w:szCs w:val="24"/>
        </w:rPr>
        <w:t xml:space="preserve"> several</w:t>
      </w:r>
      <w:r w:rsidR="00D3135A" w:rsidRPr="00493892">
        <w:rPr>
          <w:rFonts w:ascii="Times New Roman" w:hAnsi="Times New Roman" w:cs="Times New Roman"/>
          <w:bCs/>
          <w:sz w:val="20"/>
          <w:szCs w:val="24"/>
        </w:rPr>
        <w:t xml:space="preserve"> young students as a mentor. He is also a part of several local and international organizations working </w:t>
      </w:r>
      <w:r w:rsidR="00493892" w:rsidRPr="00493892">
        <w:rPr>
          <w:rFonts w:ascii="Times New Roman" w:hAnsi="Times New Roman" w:cs="Times New Roman"/>
          <w:bCs/>
          <w:sz w:val="20"/>
          <w:szCs w:val="24"/>
        </w:rPr>
        <w:t>for the awareness and training of research among medical students in Pakistan.</w:t>
      </w:r>
    </w:p>
    <w:sectPr w:rsidR="00D31592" w:rsidRPr="0049389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altName w:val="Tw Cen MT"/>
    <w:panose1 w:val="020B0602020104020603"/>
    <w:charset w:val="00"/>
    <w:family w:val="swiss"/>
    <w:pitch w:val="variable"/>
    <w:sig w:usb0="00000007" w:usb1="00000000" w:usb2="00000000" w:usb3="00000000" w:csb0="00000003" w:csb1="00000000"/>
  </w:font>
  <w:font w:name="Quattrocento Sans">
    <w:altName w:val="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921"/>
    <w:rsid w:val="00232CEF"/>
    <w:rsid w:val="004104ED"/>
    <w:rsid w:val="00493892"/>
    <w:rsid w:val="00833921"/>
    <w:rsid w:val="00D3135A"/>
    <w:rsid w:val="00D31592"/>
    <w:rsid w:val="00DC49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CF1955"/>
  <w15:chartTrackingRefBased/>
  <w15:docId w15:val="{6C6833FF-45C5-4603-A07A-4739B97C26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unhideWhenUsed/>
    <w:qFormat/>
    <w:rsid w:val="00DC49E9"/>
    <w:pPr>
      <w:widowControl w:val="0"/>
      <w:spacing w:after="0" w:line="240" w:lineRule="auto"/>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DC49E9"/>
    <w:rPr>
      <w:rFonts w:ascii="Tw Cen MT" w:eastAsia="Tw Cen MT" w:hAnsi="Tw Cen MT" w:cs="Tw Cen MT"/>
      <w:sz w:val="18"/>
      <w:szCs w:val="18"/>
    </w:rPr>
  </w:style>
  <w:style w:type="paragraph" w:styleId="Caption">
    <w:name w:val="caption"/>
    <w:basedOn w:val="Normal"/>
    <w:next w:val="Normal"/>
    <w:uiPriority w:val="35"/>
    <w:unhideWhenUsed/>
    <w:qFormat/>
    <w:rsid w:val="00D31592"/>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2169/internalmedicine.53.2570" TargetMode="External"/><Relationship Id="rId5" Type="http://schemas.openxmlformats.org/officeDocument/2006/relationships/hyperlink" Target="https://doi.org/10.1016/j.cellimm.2014.08.002"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716</Words>
  <Characters>4087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Shayan Ali Irfan</dc:creator>
  <cp:keywords/>
  <dc:description/>
  <cp:lastModifiedBy>Shayan Ali Irfan</cp:lastModifiedBy>
  <cp:revision>2</cp:revision>
  <dcterms:created xsi:type="dcterms:W3CDTF">2022-11-01T04:02:00Z</dcterms:created>
  <dcterms:modified xsi:type="dcterms:W3CDTF">2022-11-01T04:50:00Z</dcterms:modified>
</cp:coreProperties>
</file>