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CBD06" w14:textId="741AAD36" w:rsidR="00CC5E33" w:rsidRDefault="00CC5E33" w:rsidP="0075311D">
      <w:pPr>
        <w:jc w:val="center"/>
        <w:rPr>
          <w:rFonts w:ascii="Times New Roman" w:hAnsi="Times New Roman" w:cs="Times New Roman"/>
          <w:b/>
          <w:lang w:val="en-GB"/>
        </w:rPr>
      </w:pPr>
      <w:proofErr w:type="spellStart"/>
      <w:r w:rsidRPr="00BF16BB">
        <w:rPr>
          <w:rFonts w:ascii="Times New Roman" w:hAnsi="Times New Roman" w:cs="Times New Roman"/>
          <w:b/>
          <w:lang w:val="en-GB"/>
        </w:rPr>
        <w:t>Porphyromonas</w:t>
      </w:r>
      <w:proofErr w:type="spellEnd"/>
      <w:r w:rsidRPr="00BF16BB">
        <w:rPr>
          <w:rFonts w:ascii="Times New Roman" w:hAnsi="Times New Roman" w:cs="Times New Roman"/>
          <w:b/>
          <w:lang w:val="en-GB"/>
        </w:rPr>
        <w:t xml:space="preserve"> </w:t>
      </w:r>
      <w:proofErr w:type="spellStart"/>
      <w:r w:rsidRPr="00BF16BB">
        <w:rPr>
          <w:rFonts w:ascii="Times New Roman" w:hAnsi="Times New Roman" w:cs="Times New Roman"/>
          <w:b/>
          <w:lang w:val="en-GB"/>
        </w:rPr>
        <w:t>gingivalis</w:t>
      </w:r>
      <w:proofErr w:type="spellEnd"/>
      <w:r w:rsidRPr="00BF16BB">
        <w:rPr>
          <w:rFonts w:ascii="Times New Roman" w:hAnsi="Times New Roman" w:cs="Times New Roman"/>
          <w:b/>
          <w:lang w:val="en-GB"/>
        </w:rPr>
        <w:t xml:space="preserve"> and </w:t>
      </w:r>
      <w:r w:rsidR="008A2E42">
        <w:rPr>
          <w:rFonts w:ascii="Times New Roman" w:hAnsi="Times New Roman" w:cs="Times New Roman"/>
          <w:b/>
          <w:lang w:val="en-GB"/>
        </w:rPr>
        <w:t xml:space="preserve">non-alcoholic </w:t>
      </w:r>
      <w:r w:rsidRPr="00BF16BB">
        <w:rPr>
          <w:rFonts w:ascii="Times New Roman" w:hAnsi="Times New Roman" w:cs="Times New Roman"/>
          <w:b/>
          <w:lang w:val="en-GB"/>
        </w:rPr>
        <w:t xml:space="preserve">fatty liver disease </w:t>
      </w:r>
      <w:r w:rsidRPr="00BF16BB">
        <w:rPr>
          <w:rFonts w:ascii="Times New Roman" w:hAnsi="Times New Roman" w:cs="Times New Roman"/>
          <w:b/>
          <w:lang w:val="en-US"/>
        </w:rPr>
        <w:t>as</w:t>
      </w:r>
      <w:r w:rsidRPr="00BF16BB">
        <w:rPr>
          <w:rFonts w:ascii="Times New Roman" w:hAnsi="Times New Roman" w:cs="Times New Roman"/>
          <w:b/>
          <w:lang w:val="en-GB"/>
        </w:rPr>
        <w:t xml:space="preserve"> combined factors of periodontitis</w:t>
      </w:r>
    </w:p>
    <w:p w14:paraId="3E73E0B6" w14:textId="77777777" w:rsidR="00797B10" w:rsidRPr="00BF16BB" w:rsidRDefault="00797B10" w:rsidP="0075311D">
      <w:pPr>
        <w:jc w:val="center"/>
        <w:rPr>
          <w:rFonts w:ascii="Times New Roman" w:hAnsi="Times New Roman" w:cs="Times New Roman"/>
          <w:b/>
          <w:lang w:val="en-GB"/>
        </w:rPr>
      </w:pPr>
    </w:p>
    <w:p w14:paraId="1D02259C" w14:textId="67B3C340" w:rsidR="0075311D" w:rsidRPr="004D2880" w:rsidRDefault="00797B10" w:rsidP="004D2880">
      <w:pPr>
        <w:jc w:val="center"/>
        <w:rPr>
          <w:rFonts w:ascii="Times New Roman" w:hAnsi="Times New Roman" w:cs="Times New Roman"/>
          <w:bCs/>
          <w:lang w:val="en-GB"/>
        </w:rPr>
      </w:pPr>
      <w:r w:rsidRPr="004D2880">
        <w:rPr>
          <w:rFonts w:ascii="Times New Roman" w:hAnsi="Times New Roman" w:cs="Times New Roman"/>
          <w:bCs/>
          <w:lang w:val="en-GB"/>
        </w:rPr>
        <w:t xml:space="preserve">Dmitry </w:t>
      </w:r>
      <w:proofErr w:type="spellStart"/>
      <w:r w:rsidRPr="004D2880">
        <w:rPr>
          <w:rFonts w:ascii="Times New Roman" w:hAnsi="Times New Roman" w:cs="Times New Roman"/>
          <w:bCs/>
          <w:lang w:val="en-GB"/>
        </w:rPr>
        <w:t>Emelyanov</w:t>
      </w:r>
      <w:proofErr w:type="spellEnd"/>
      <w:r w:rsidRPr="004D2880">
        <w:rPr>
          <w:rFonts w:ascii="Times New Roman" w:hAnsi="Times New Roman" w:cs="Times New Roman"/>
          <w:bCs/>
          <w:lang w:val="en-GB"/>
        </w:rPr>
        <w:t>, Nataliya Emelyanova</w:t>
      </w:r>
    </w:p>
    <w:p w14:paraId="73B5EA45" w14:textId="123DBEAA" w:rsidR="00797B10" w:rsidRPr="004D2880" w:rsidRDefault="00797B10" w:rsidP="0075311D">
      <w:pPr>
        <w:jc w:val="center"/>
        <w:rPr>
          <w:rFonts w:ascii="Times New Roman" w:hAnsi="Times New Roman" w:cs="Times New Roman"/>
          <w:bCs/>
          <w:lang w:val="en-US"/>
        </w:rPr>
      </w:pPr>
      <w:r w:rsidRPr="004D2880">
        <w:rPr>
          <w:rFonts w:ascii="Times New Roman" w:hAnsi="Times New Roman" w:cs="Times New Roman"/>
          <w:bCs/>
          <w:shd w:val="clear" w:color="auto" w:fill="FFFFFF"/>
          <w:lang w:val="en-US"/>
        </w:rPr>
        <w:t>Government Institution “L.T. Malaya Therapy National Institute of the National Academy of Medical Sciences of Ukraine</w:t>
      </w:r>
      <w:r w:rsidRPr="004D2880">
        <w:rPr>
          <w:rFonts w:ascii="Times New Roman" w:hAnsi="Times New Roman" w:cs="Times New Roman"/>
          <w:bCs/>
          <w:lang w:val="en-US"/>
        </w:rPr>
        <w:t>.</w:t>
      </w:r>
    </w:p>
    <w:p w14:paraId="65C8316F" w14:textId="77777777" w:rsidR="0075311D" w:rsidRPr="004D2880" w:rsidRDefault="0075311D" w:rsidP="0075311D">
      <w:pPr>
        <w:jc w:val="center"/>
        <w:rPr>
          <w:rFonts w:ascii="Times New Roman" w:hAnsi="Times New Roman" w:cs="Times New Roman"/>
          <w:bCs/>
          <w:lang w:val="en-GB"/>
        </w:rPr>
      </w:pPr>
    </w:p>
    <w:p w14:paraId="0BED6E61" w14:textId="469406E1" w:rsidR="00480286" w:rsidRPr="00BF16BB" w:rsidRDefault="00480286" w:rsidP="0075311D">
      <w:pPr>
        <w:ind w:firstLine="708"/>
        <w:jc w:val="both"/>
        <w:rPr>
          <w:rFonts w:ascii="Times New Roman" w:eastAsia="Times New Roman" w:hAnsi="Times New Roman" w:cs="Times New Roman"/>
          <w:color w:val="000000"/>
          <w:shd w:val="clear" w:color="auto" w:fill="FFFFFF"/>
          <w:lang w:val="en-GB" w:eastAsia="ru-RU"/>
        </w:rPr>
      </w:pPr>
      <w:r w:rsidRPr="00BF16BB">
        <w:rPr>
          <w:rFonts w:ascii="Times New Roman" w:eastAsia="Times New Roman" w:hAnsi="Times New Roman" w:cs="Times New Roman"/>
          <w:color w:val="000000"/>
          <w:shd w:val="clear" w:color="auto" w:fill="FFFFFF"/>
          <w:lang w:val="en-GB" w:eastAsia="ru-RU"/>
        </w:rPr>
        <w:t>The periodontium is constantly influenced by various exogenous pathogenic factors, and microorganisms are only one of them. It is impossible to imagine oral cavity without microflora, because it is one of the body biotopes, which is formed 2-3 hours immediately after the birth, and therefore the periodontium has certain adaptive and protective capabilities to such an effect</w:t>
      </w:r>
      <w:r w:rsidR="004D2880">
        <w:rPr>
          <w:rFonts w:ascii="Times New Roman" w:eastAsia="Times New Roman" w:hAnsi="Times New Roman" w:cs="Times New Roman"/>
          <w:color w:val="000000"/>
          <w:shd w:val="clear" w:color="auto" w:fill="FFFFFF"/>
          <w:lang w:val="en-US" w:eastAsia="ru-RU"/>
        </w:rPr>
        <w:t xml:space="preserve">. </w:t>
      </w:r>
      <w:r w:rsidRPr="00BF16BB">
        <w:rPr>
          <w:rFonts w:ascii="Times New Roman" w:eastAsia="Times New Roman" w:hAnsi="Times New Roman" w:cs="Times New Roman"/>
          <w:color w:val="000000"/>
          <w:shd w:val="clear" w:color="auto" w:fill="FFFFFF"/>
          <w:lang w:val="en-GB" w:eastAsia="ru-RU"/>
        </w:rPr>
        <w:t>The integrity of epithelial barrier, constant movement of gingival fluid, local immunity control, the necessary partial pressure of oxygen and the minimum stack layering preserve periodontal health, even if concurrently influenced by several exogenous factors.</w:t>
      </w:r>
    </w:p>
    <w:p w14:paraId="5E240758" w14:textId="5629F1C3" w:rsidR="005309DD" w:rsidRDefault="005309DD" w:rsidP="0075311D">
      <w:pPr>
        <w:ind w:firstLine="708"/>
        <w:jc w:val="both"/>
        <w:rPr>
          <w:rFonts w:ascii="Times New Roman" w:eastAsia="Times New Roman" w:hAnsi="Times New Roman" w:cs="Times New Roman"/>
          <w:color w:val="000000"/>
          <w:shd w:val="clear" w:color="auto" w:fill="FFFFFF"/>
          <w:lang w:val="en-GB" w:eastAsia="ru-RU"/>
        </w:rPr>
      </w:pPr>
      <w:r w:rsidRPr="005309DD">
        <w:rPr>
          <w:rFonts w:ascii="Times New Roman" w:eastAsia="Times New Roman" w:hAnsi="Times New Roman" w:cs="Times New Roman"/>
          <w:color w:val="000000"/>
          <w:shd w:val="clear" w:color="auto" w:fill="FFFFFF"/>
          <w:lang w:val="en-GB" w:eastAsia="ru-RU"/>
        </w:rPr>
        <w:t>The presence of NAFLD in a dental patient is an endogenous factor in reducing the adaptive capacity of the periodontium, initiating and maintaining the inflammatory process through systemic circulation as a source of pro-inflammatory cytokines</w:t>
      </w:r>
      <w:r w:rsidR="004D2880">
        <w:rPr>
          <w:rFonts w:ascii="Times New Roman" w:eastAsia="Times New Roman" w:hAnsi="Times New Roman" w:cs="Times New Roman"/>
          <w:color w:val="000000"/>
          <w:shd w:val="clear" w:color="auto" w:fill="FFFFFF"/>
          <w:lang w:val="en-GB" w:eastAsia="ru-RU"/>
        </w:rPr>
        <w:t xml:space="preserve">. </w:t>
      </w:r>
      <w:r w:rsidRPr="005309DD">
        <w:rPr>
          <w:rFonts w:ascii="Times New Roman" w:eastAsia="Times New Roman" w:hAnsi="Times New Roman" w:cs="Times New Roman"/>
          <w:color w:val="000000"/>
          <w:shd w:val="clear" w:color="auto" w:fill="FFFFFF"/>
          <w:lang w:val="en-GB" w:eastAsia="ru-RU"/>
        </w:rPr>
        <w:t>Thus, somatic disease facilitates increased activity of specific periodontopathogens, and the occurrence and development of pathological changes in the periodontium</w:t>
      </w:r>
      <w:r w:rsidR="004D2880">
        <w:rPr>
          <w:rFonts w:ascii="Times New Roman" w:eastAsia="Times New Roman" w:hAnsi="Times New Roman" w:cs="Times New Roman"/>
          <w:color w:val="000000"/>
          <w:shd w:val="clear" w:color="auto" w:fill="FFFFFF"/>
          <w:lang w:val="en-GB" w:eastAsia="ru-RU"/>
        </w:rPr>
        <w:t>.</w:t>
      </w:r>
    </w:p>
    <w:p w14:paraId="759C051F" w14:textId="37EE6086" w:rsidR="005309DD" w:rsidRDefault="005309DD" w:rsidP="004D2880">
      <w:pPr>
        <w:ind w:firstLine="708"/>
        <w:jc w:val="both"/>
        <w:rPr>
          <w:rFonts w:ascii="Times New Roman" w:eastAsia="Times New Roman" w:hAnsi="Times New Roman" w:cs="Times New Roman"/>
          <w:color w:val="000000"/>
          <w:shd w:val="clear" w:color="auto" w:fill="FFFFFF"/>
          <w:lang w:val="en-GB" w:eastAsia="ru-RU"/>
        </w:rPr>
      </w:pPr>
      <w:r w:rsidRPr="005309DD">
        <w:rPr>
          <w:rFonts w:ascii="Times New Roman" w:eastAsia="Times New Roman" w:hAnsi="Times New Roman" w:cs="Times New Roman"/>
          <w:color w:val="000000"/>
          <w:shd w:val="clear" w:color="auto" w:fill="FFFFFF"/>
          <w:lang w:val="en-GB" w:eastAsia="ru-RU"/>
        </w:rPr>
        <w:t xml:space="preserve">One of the main </w:t>
      </w:r>
      <w:proofErr w:type="gramStart"/>
      <w:r w:rsidRPr="005309DD">
        <w:rPr>
          <w:rFonts w:ascii="Times New Roman" w:eastAsia="Times New Roman" w:hAnsi="Times New Roman" w:cs="Times New Roman"/>
          <w:color w:val="000000"/>
          <w:shd w:val="clear" w:color="auto" w:fill="FFFFFF"/>
          <w:lang w:val="en-GB" w:eastAsia="ru-RU"/>
        </w:rPr>
        <w:t>order</w:t>
      </w:r>
      <w:proofErr w:type="gramEnd"/>
      <w:r w:rsidRPr="005309DD">
        <w:rPr>
          <w:rFonts w:ascii="Times New Roman" w:eastAsia="Times New Roman" w:hAnsi="Times New Roman" w:cs="Times New Roman"/>
          <w:color w:val="000000"/>
          <w:shd w:val="clear" w:color="auto" w:fill="FFFFFF"/>
          <w:lang w:val="en-GB" w:eastAsia="ru-RU"/>
        </w:rPr>
        <w:t xml:space="preserve"> 1 periodontopathogens is </w:t>
      </w:r>
      <w:proofErr w:type="spellStart"/>
      <w:r w:rsidRPr="005309DD">
        <w:rPr>
          <w:rFonts w:ascii="Times New Roman" w:eastAsia="Times New Roman" w:hAnsi="Times New Roman" w:cs="Times New Roman"/>
          <w:color w:val="000000"/>
          <w:shd w:val="clear" w:color="auto" w:fill="FFFFFF"/>
          <w:lang w:val="en-GB" w:eastAsia="ru-RU"/>
        </w:rPr>
        <w:t>Porphyromonas</w:t>
      </w:r>
      <w:proofErr w:type="spellEnd"/>
      <w:r w:rsidRPr="005309DD">
        <w:rPr>
          <w:rFonts w:ascii="Times New Roman" w:eastAsia="Times New Roman" w:hAnsi="Times New Roman" w:cs="Times New Roman"/>
          <w:color w:val="000000"/>
          <w:shd w:val="clear" w:color="auto" w:fill="FFFFFF"/>
          <w:lang w:val="en-GB" w:eastAsia="ru-RU"/>
        </w:rPr>
        <w:t xml:space="preserve"> </w:t>
      </w:r>
      <w:proofErr w:type="spellStart"/>
      <w:r w:rsidRPr="005309DD">
        <w:rPr>
          <w:rFonts w:ascii="Times New Roman" w:eastAsia="Times New Roman" w:hAnsi="Times New Roman" w:cs="Times New Roman"/>
          <w:color w:val="000000"/>
          <w:shd w:val="clear" w:color="auto" w:fill="FFFFFF"/>
          <w:lang w:val="en-GB" w:eastAsia="ru-RU"/>
        </w:rPr>
        <w:t>gingivalis</w:t>
      </w:r>
      <w:proofErr w:type="spellEnd"/>
      <w:r w:rsidRPr="005309DD">
        <w:rPr>
          <w:rFonts w:ascii="Times New Roman" w:eastAsia="Times New Roman" w:hAnsi="Times New Roman" w:cs="Times New Roman"/>
          <w:color w:val="000000"/>
          <w:shd w:val="clear" w:color="auto" w:fill="FFFFFF"/>
          <w:lang w:val="en-GB" w:eastAsia="ru-RU"/>
        </w:rPr>
        <w:t xml:space="preserve">, which has powerful virulence factors. However, with NAFLD, protective capabilities of the periodontium go down and quantitative and qualitative changes begin to occur with </w:t>
      </w:r>
      <w:proofErr w:type="spellStart"/>
      <w:r w:rsidRPr="005309DD">
        <w:rPr>
          <w:rFonts w:ascii="Times New Roman" w:eastAsia="Times New Roman" w:hAnsi="Times New Roman" w:cs="Times New Roman"/>
          <w:color w:val="000000"/>
          <w:shd w:val="clear" w:color="auto" w:fill="FFFFFF"/>
          <w:lang w:val="en-GB" w:eastAsia="ru-RU"/>
        </w:rPr>
        <w:t>Porphyromonas</w:t>
      </w:r>
      <w:proofErr w:type="spellEnd"/>
      <w:r w:rsidRPr="005309DD">
        <w:rPr>
          <w:rFonts w:ascii="Times New Roman" w:eastAsia="Times New Roman" w:hAnsi="Times New Roman" w:cs="Times New Roman"/>
          <w:color w:val="000000"/>
          <w:shd w:val="clear" w:color="auto" w:fill="FFFFFF"/>
          <w:lang w:val="en-GB" w:eastAsia="ru-RU"/>
        </w:rPr>
        <w:t xml:space="preserve"> </w:t>
      </w:r>
      <w:proofErr w:type="spellStart"/>
      <w:r w:rsidRPr="005309DD">
        <w:rPr>
          <w:rFonts w:ascii="Times New Roman" w:eastAsia="Times New Roman" w:hAnsi="Times New Roman" w:cs="Times New Roman"/>
          <w:color w:val="000000"/>
          <w:shd w:val="clear" w:color="auto" w:fill="FFFFFF"/>
          <w:lang w:val="en-GB" w:eastAsia="ru-RU"/>
        </w:rPr>
        <w:t>gingivalis</w:t>
      </w:r>
      <w:proofErr w:type="spellEnd"/>
      <w:r w:rsidRPr="005309DD">
        <w:rPr>
          <w:rFonts w:ascii="Times New Roman" w:eastAsia="Times New Roman" w:hAnsi="Times New Roman" w:cs="Times New Roman"/>
          <w:color w:val="000000"/>
          <w:shd w:val="clear" w:color="auto" w:fill="FFFFFF"/>
          <w:lang w:val="en-GB" w:eastAsia="ru-RU"/>
        </w:rPr>
        <w:t xml:space="preserve"> i.e.: infectivity (increase and growth of microcolonies) and invasion (intratissue penetration). Hypoxia phenomena in the periodontium backed by NAFLD contribute to the growth of anaerobes.</w:t>
      </w:r>
      <w:r w:rsidR="004D2880" w:rsidRPr="004D2880">
        <w:rPr>
          <w:rFonts w:ascii="Times New Roman" w:eastAsia="Times New Roman" w:hAnsi="Times New Roman" w:cs="Times New Roman"/>
          <w:color w:val="000000"/>
          <w:shd w:val="clear" w:color="auto" w:fill="FFFFFF"/>
          <w:lang w:val="en-US" w:eastAsia="ru-RU"/>
        </w:rPr>
        <w:t xml:space="preserve"> </w:t>
      </w:r>
      <w:proofErr w:type="spellStart"/>
      <w:r w:rsidR="00CB0079" w:rsidRPr="00BF16BB">
        <w:rPr>
          <w:rFonts w:ascii="Times New Roman" w:eastAsia="Times New Roman" w:hAnsi="Times New Roman" w:cs="Times New Roman"/>
          <w:color w:val="000000"/>
          <w:shd w:val="clear" w:color="auto" w:fill="FFFFFF"/>
          <w:lang w:val="en-GB" w:eastAsia="ru-RU"/>
        </w:rPr>
        <w:t>Porphyromonas</w:t>
      </w:r>
      <w:proofErr w:type="spellEnd"/>
      <w:r w:rsidR="00CB0079" w:rsidRPr="00BF16BB">
        <w:rPr>
          <w:rFonts w:ascii="Times New Roman" w:eastAsia="Times New Roman" w:hAnsi="Times New Roman" w:cs="Times New Roman"/>
          <w:color w:val="000000"/>
          <w:shd w:val="clear" w:color="auto" w:fill="FFFFFF"/>
          <w:lang w:val="en-GB" w:eastAsia="ru-RU"/>
        </w:rPr>
        <w:t xml:space="preserve"> </w:t>
      </w:r>
      <w:proofErr w:type="spellStart"/>
      <w:r w:rsidR="00CB0079" w:rsidRPr="00BF16BB">
        <w:rPr>
          <w:rFonts w:ascii="Times New Roman" w:eastAsia="Times New Roman" w:hAnsi="Times New Roman" w:cs="Times New Roman"/>
          <w:color w:val="000000"/>
          <w:shd w:val="clear" w:color="auto" w:fill="FFFFFF"/>
          <w:lang w:val="en-GB" w:eastAsia="ru-RU"/>
        </w:rPr>
        <w:t>gingivalis</w:t>
      </w:r>
      <w:proofErr w:type="spellEnd"/>
      <w:r w:rsidR="00CB0079" w:rsidRPr="00BF16BB">
        <w:rPr>
          <w:rFonts w:ascii="Times New Roman" w:eastAsia="Times New Roman" w:hAnsi="Times New Roman" w:cs="Times New Roman"/>
          <w:color w:val="000000"/>
          <w:shd w:val="clear" w:color="auto" w:fill="FFFFFF"/>
          <w:lang w:val="en-GB" w:eastAsia="ru-RU"/>
        </w:rPr>
        <w:t xml:space="preserve"> has direct and indirect mechanisms of periodontal tissue destruction</w:t>
      </w:r>
      <w:r w:rsidR="00EF31DF" w:rsidRPr="00BF16BB">
        <w:rPr>
          <w:rFonts w:ascii="Times New Roman" w:eastAsia="Times New Roman" w:hAnsi="Times New Roman" w:cs="Times New Roman"/>
          <w:color w:val="000000"/>
          <w:shd w:val="clear" w:color="auto" w:fill="FFFFFF"/>
          <w:lang w:val="en-GB" w:eastAsia="ru-RU"/>
        </w:rPr>
        <w:t xml:space="preserve">. By secreting special enzymes </w:t>
      </w:r>
      <w:proofErr w:type="gramStart"/>
      <w:r w:rsidR="00EF31DF" w:rsidRPr="00BF16BB">
        <w:rPr>
          <w:rFonts w:ascii="Times New Roman" w:eastAsia="Times New Roman" w:hAnsi="Times New Roman" w:cs="Times New Roman"/>
          <w:color w:val="000000"/>
          <w:shd w:val="clear" w:color="auto" w:fill="FFFFFF"/>
          <w:lang w:val="en-GB" w:eastAsia="ru-RU"/>
        </w:rPr>
        <w:t>i.e.</w:t>
      </w:r>
      <w:proofErr w:type="gramEnd"/>
      <w:r w:rsidR="00CB0079" w:rsidRPr="00BF16BB">
        <w:rPr>
          <w:rFonts w:ascii="Times New Roman" w:eastAsia="Times New Roman" w:hAnsi="Times New Roman" w:cs="Times New Roman"/>
          <w:color w:val="000000"/>
          <w:shd w:val="clear" w:color="auto" w:fill="FFFFFF"/>
          <w:lang w:val="en-GB" w:eastAsia="ru-RU"/>
        </w:rPr>
        <w:t xml:space="preserve"> gingipains, the bacterium destroys interepithelial contacts, reduces the viscosity of the main substance of the connective tissue, which makes it easier for it to invade. </w:t>
      </w:r>
    </w:p>
    <w:p w14:paraId="329EE55B" w14:textId="46E2D63E" w:rsidR="006019CD" w:rsidRPr="00BF16BB" w:rsidRDefault="005309DD" w:rsidP="0075311D">
      <w:pPr>
        <w:ind w:firstLine="708"/>
        <w:jc w:val="both"/>
        <w:rPr>
          <w:rFonts w:ascii="Times New Roman" w:eastAsia="Times New Roman" w:hAnsi="Times New Roman" w:cs="Times New Roman"/>
          <w:color w:val="000000"/>
          <w:shd w:val="clear" w:color="auto" w:fill="FFFFFF"/>
          <w:lang w:val="en-GB" w:eastAsia="ru-RU"/>
        </w:rPr>
      </w:pPr>
      <w:r>
        <w:rPr>
          <w:rFonts w:ascii="Times New Roman" w:eastAsia="Times New Roman" w:hAnsi="Times New Roman" w:cs="Times New Roman"/>
          <w:color w:val="000000"/>
          <w:shd w:val="clear" w:color="auto" w:fill="FFFFFF"/>
          <w:lang w:val="en-GB" w:eastAsia="ru-RU"/>
        </w:rPr>
        <w:t>T</w:t>
      </w:r>
      <w:r w:rsidR="00EF31DF" w:rsidRPr="00BF16BB">
        <w:rPr>
          <w:rFonts w:ascii="Times New Roman" w:eastAsia="Times New Roman" w:hAnsi="Times New Roman" w:cs="Times New Roman"/>
          <w:color w:val="000000"/>
          <w:shd w:val="clear" w:color="auto" w:fill="FFFFFF"/>
          <w:lang w:val="en-GB" w:eastAsia="ru-RU"/>
        </w:rPr>
        <w:t xml:space="preserve">he </w:t>
      </w:r>
      <w:r w:rsidR="00EF31DF" w:rsidRPr="00BF16BB">
        <w:rPr>
          <w:rFonts w:ascii="Times New Roman" w:eastAsia="Times New Roman" w:hAnsi="Times New Roman" w:cs="Times New Roman"/>
          <w:b/>
          <w:color w:val="000000"/>
          <w:shd w:val="clear" w:color="auto" w:fill="FFFFFF"/>
          <w:lang w:val="en-GB" w:eastAsia="ru-RU"/>
        </w:rPr>
        <w:t>purpose</w:t>
      </w:r>
      <w:r w:rsidR="00EF31DF" w:rsidRPr="00BF16BB">
        <w:rPr>
          <w:rFonts w:ascii="Times New Roman" w:eastAsia="Times New Roman" w:hAnsi="Times New Roman" w:cs="Times New Roman"/>
          <w:color w:val="000000"/>
          <w:shd w:val="clear" w:color="auto" w:fill="FFFFFF"/>
          <w:lang w:val="en-GB" w:eastAsia="ru-RU"/>
        </w:rPr>
        <w:t xml:space="preserve"> of this study is to determine the quantitative level of Porphyromonas gingivalis in the periodontal pocket and its gingipain virulence factor in patients with non-alcoholic fatty liver disease</w:t>
      </w:r>
      <w:r w:rsidR="000C74C8" w:rsidRPr="00BF16BB">
        <w:rPr>
          <w:rFonts w:ascii="Times New Roman" w:eastAsia="Times New Roman" w:hAnsi="Times New Roman" w:cs="Times New Roman"/>
          <w:color w:val="000000"/>
          <w:shd w:val="clear" w:color="auto" w:fill="FFFFFF"/>
          <w:lang w:val="en-GB" w:eastAsia="ru-RU"/>
        </w:rPr>
        <w:t>.</w:t>
      </w:r>
    </w:p>
    <w:p w14:paraId="5E95FFBF" w14:textId="77777777" w:rsidR="00CC5E33" w:rsidRPr="008A2E42" w:rsidRDefault="00CC5E33" w:rsidP="004D2880">
      <w:pPr>
        <w:pStyle w:val="2"/>
        <w:spacing w:before="0"/>
        <w:ind w:firstLine="708"/>
        <w:jc w:val="both"/>
        <w:rPr>
          <w:rFonts w:ascii="Times New Roman" w:hAnsi="Times New Roman" w:cs="Times New Roman"/>
          <w:color w:val="auto"/>
          <w:sz w:val="24"/>
          <w:szCs w:val="24"/>
          <w:lang w:val="en-US"/>
        </w:rPr>
      </w:pPr>
      <w:r w:rsidRPr="008A2E42">
        <w:rPr>
          <w:rFonts w:ascii="Times New Roman" w:hAnsi="Times New Roman" w:cs="Times New Roman"/>
          <w:b/>
          <w:bCs/>
          <w:color w:val="auto"/>
          <w:sz w:val="24"/>
          <w:szCs w:val="24"/>
          <w:lang w:val="en-US"/>
        </w:rPr>
        <w:t>Methods</w:t>
      </w:r>
    </w:p>
    <w:p w14:paraId="7584F735" w14:textId="7212D108" w:rsidR="008A50AA" w:rsidRDefault="00A45367" w:rsidP="0075311D">
      <w:pPr>
        <w:ind w:firstLine="708"/>
        <w:jc w:val="both"/>
        <w:rPr>
          <w:rFonts w:ascii="Times New Roman" w:eastAsia="Times New Roman" w:hAnsi="Times New Roman" w:cs="Times New Roman"/>
          <w:b/>
          <w:bCs/>
          <w:color w:val="000000"/>
          <w:shd w:val="clear" w:color="auto" w:fill="FFFFFF"/>
          <w:lang w:val="en-GB" w:eastAsia="ru-RU"/>
        </w:rPr>
      </w:pPr>
      <w:r w:rsidRPr="00BF16BB">
        <w:rPr>
          <w:rFonts w:ascii="Times New Roman" w:eastAsia="Times New Roman" w:hAnsi="Times New Roman" w:cs="Times New Roman"/>
          <w:color w:val="000000"/>
          <w:shd w:val="clear" w:color="auto" w:fill="FFFFFF"/>
          <w:lang w:val="en-GB" w:eastAsia="ru-RU"/>
        </w:rPr>
        <w:t xml:space="preserve">The study recruited patients with a verified NAFLD diagnosis and somatically healthy patients from the control group. </w:t>
      </w:r>
      <w:r w:rsidR="00C32E6F" w:rsidRPr="00BF16BB">
        <w:rPr>
          <w:rFonts w:ascii="Times New Roman" w:eastAsia="Times New Roman" w:hAnsi="Times New Roman" w:cs="Times New Roman"/>
          <w:color w:val="000000"/>
          <w:shd w:val="clear" w:color="auto" w:fill="FFFFFF"/>
          <w:lang w:val="en-GB" w:eastAsia="ru-RU"/>
        </w:rPr>
        <w:t>D</w:t>
      </w:r>
      <w:r w:rsidRPr="00BF16BB">
        <w:rPr>
          <w:rFonts w:ascii="Times New Roman" w:eastAsia="Times New Roman" w:hAnsi="Times New Roman" w:cs="Times New Roman"/>
          <w:color w:val="000000"/>
          <w:shd w:val="clear" w:color="auto" w:fill="FFFFFF"/>
          <w:lang w:val="en-GB" w:eastAsia="ru-RU"/>
        </w:rPr>
        <w:t xml:space="preserve">ental examination was carried out according to </w:t>
      </w:r>
      <w:r w:rsidR="00C32E6F" w:rsidRPr="00BF16BB">
        <w:rPr>
          <w:rFonts w:ascii="Times New Roman" w:eastAsia="Times New Roman" w:hAnsi="Times New Roman" w:cs="Times New Roman"/>
          <w:color w:val="000000"/>
          <w:shd w:val="clear" w:color="auto" w:fill="FFFFFF"/>
          <w:lang w:val="en-GB" w:eastAsia="ru-RU"/>
        </w:rPr>
        <w:t xml:space="preserve">the </w:t>
      </w:r>
      <w:r w:rsidRPr="00BF16BB">
        <w:rPr>
          <w:rFonts w:ascii="Times New Roman" w:eastAsia="Times New Roman" w:hAnsi="Times New Roman" w:cs="Times New Roman"/>
          <w:color w:val="000000"/>
          <w:shd w:val="clear" w:color="auto" w:fill="FFFFFF"/>
          <w:lang w:val="en-GB" w:eastAsia="ru-RU"/>
        </w:rPr>
        <w:t xml:space="preserve">standard methods with the determination of the OHI-S hygienic index, the papillary-marginal-alveolar index (PMA), the </w:t>
      </w:r>
      <w:r w:rsidR="00C32E6F" w:rsidRPr="00BF16BB">
        <w:rPr>
          <w:rFonts w:ascii="Times New Roman" w:eastAsia="Times New Roman" w:hAnsi="Times New Roman" w:cs="Times New Roman"/>
          <w:color w:val="000000"/>
          <w:shd w:val="clear" w:color="auto" w:fill="FFFFFF"/>
          <w:lang w:val="en-GB" w:eastAsia="ru-RU"/>
        </w:rPr>
        <w:t>papilla-bleeding</w:t>
      </w:r>
      <w:r w:rsidRPr="00BF16BB">
        <w:rPr>
          <w:rFonts w:ascii="Times New Roman" w:eastAsia="Times New Roman" w:hAnsi="Times New Roman" w:cs="Times New Roman"/>
          <w:color w:val="000000"/>
          <w:shd w:val="clear" w:color="auto" w:fill="FFFFFF"/>
          <w:lang w:val="en-GB" w:eastAsia="ru-RU"/>
        </w:rPr>
        <w:t xml:space="preserve"> index (PBI), the periodontal index PI (Russell), </w:t>
      </w:r>
      <w:r w:rsidR="00C32E6F" w:rsidRPr="00BF16BB">
        <w:rPr>
          <w:rFonts w:ascii="Times New Roman" w:eastAsia="Times New Roman" w:hAnsi="Times New Roman" w:cs="Times New Roman"/>
          <w:color w:val="000000"/>
          <w:shd w:val="clear" w:color="auto" w:fill="FFFFFF"/>
          <w:lang w:val="en-GB" w:eastAsia="ru-RU"/>
        </w:rPr>
        <w:t>and the</w:t>
      </w:r>
      <w:r w:rsidRPr="00BF16BB">
        <w:rPr>
          <w:rFonts w:ascii="Times New Roman" w:eastAsia="Times New Roman" w:hAnsi="Times New Roman" w:cs="Times New Roman"/>
          <w:color w:val="000000"/>
          <w:shd w:val="clear" w:color="auto" w:fill="FFFFFF"/>
          <w:lang w:val="en-GB" w:eastAsia="ru-RU"/>
        </w:rPr>
        <w:t xml:space="preserve"> loss of attachment and the depth of gingival probing. The quantitative composition of Porphyromonas gingivalis was determined by the method of quantitative polymerase chain reaction (PCR) in real time (qRT-PCR) using universal primers. </w:t>
      </w:r>
      <w:r w:rsidR="00163C5C">
        <w:rPr>
          <w:rFonts w:ascii="Times New Roman" w:eastAsia="Times New Roman" w:hAnsi="Times New Roman" w:cs="Times New Roman"/>
          <w:color w:val="000000"/>
          <w:shd w:val="clear" w:color="auto" w:fill="FFFFFF"/>
          <w:lang w:val="en-GB" w:eastAsia="ru-RU"/>
        </w:rPr>
        <w:t xml:space="preserve"> </w:t>
      </w:r>
      <w:r w:rsidR="009B3468" w:rsidRPr="00BF16BB">
        <w:rPr>
          <w:rFonts w:ascii="Times New Roman" w:eastAsia="Times New Roman" w:hAnsi="Times New Roman" w:cs="Times New Roman"/>
          <w:color w:val="000000"/>
          <w:shd w:val="clear" w:color="auto" w:fill="FFFFFF"/>
          <w:lang w:val="en-GB" w:eastAsia="ru-RU"/>
        </w:rPr>
        <w:t xml:space="preserve">Gingipain K </w:t>
      </w:r>
      <w:r w:rsidRPr="00BF16BB">
        <w:rPr>
          <w:rFonts w:ascii="Times New Roman" w:eastAsia="Times New Roman" w:hAnsi="Times New Roman" w:cs="Times New Roman"/>
          <w:color w:val="000000"/>
          <w:shd w:val="clear" w:color="auto" w:fill="FFFFFF"/>
          <w:lang w:val="en-GB" w:eastAsia="ru-RU"/>
        </w:rPr>
        <w:t xml:space="preserve">concentration in oral fluid was </w:t>
      </w:r>
      <w:r w:rsidR="009B3468" w:rsidRPr="00BF16BB">
        <w:rPr>
          <w:rFonts w:ascii="Times New Roman" w:eastAsia="Times New Roman" w:hAnsi="Times New Roman" w:cs="Times New Roman"/>
          <w:color w:val="000000"/>
          <w:shd w:val="clear" w:color="auto" w:fill="FFFFFF"/>
          <w:lang w:val="en-GB" w:eastAsia="ru-RU"/>
        </w:rPr>
        <w:t>determined</w:t>
      </w:r>
      <w:r w:rsidRPr="00BF16BB">
        <w:rPr>
          <w:rFonts w:ascii="Times New Roman" w:eastAsia="Times New Roman" w:hAnsi="Times New Roman" w:cs="Times New Roman"/>
          <w:color w:val="000000"/>
          <w:shd w:val="clear" w:color="auto" w:fill="FFFFFF"/>
          <w:lang w:val="en-GB" w:eastAsia="ru-RU"/>
        </w:rPr>
        <w:t xml:space="preserve"> by immunoenzymatic method using </w:t>
      </w:r>
      <w:r w:rsidR="009B3468" w:rsidRPr="00BF16BB">
        <w:rPr>
          <w:rFonts w:ascii="Times New Roman" w:eastAsia="Times New Roman" w:hAnsi="Times New Roman" w:cs="Times New Roman"/>
          <w:color w:val="000000"/>
          <w:shd w:val="clear" w:color="auto" w:fill="FFFFFF"/>
          <w:lang w:val="en-GB" w:eastAsia="ru-RU"/>
        </w:rPr>
        <w:t>HUMAN GINGIPAIN K (KGP) ELISA KIT</w:t>
      </w:r>
      <w:r w:rsidRPr="00BF16BB">
        <w:rPr>
          <w:rFonts w:ascii="Times New Roman" w:eastAsia="Times New Roman" w:hAnsi="Times New Roman" w:cs="Times New Roman"/>
          <w:color w:val="000000"/>
          <w:shd w:val="clear" w:color="auto" w:fill="FFFFFF"/>
          <w:lang w:val="en-GB" w:eastAsia="ru-RU"/>
        </w:rPr>
        <w:t xml:space="preserve"> (DRG Instruments GmbH, Germany)</w:t>
      </w:r>
      <w:r w:rsidR="00E03C14" w:rsidRPr="00BF16BB">
        <w:rPr>
          <w:rFonts w:ascii="Times New Roman" w:eastAsia="Times New Roman" w:hAnsi="Times New Roman" w:cs="Times New Roman"/>
          <w:color w:val="000000"/>
          <w:shd w:val="clear" w:color="auto" w:fill="FFFFFF"/>
          <w:lang w:val="en-GB" w:eastAsia="ru-RU"/>
        </w:rPr>
        <w:t>;</w:t>
      </w:r>
      <w:r w:rsidRPr="00BF16BB">
        <w:rPr>
          <w:rFonts w:ascii="Times New Roman" w:eastAsia="Times New Roman" w:hAnsi="Times New Roman" w:cs="Times New Roman"/>
          <w:color w:val="000000"/>
          <w:shd w:val="clear" w:color="auto" w:fill="FFFFFF"/>
          <w:lang w:val="en-GB" w:eastAsia="ru-RU"/>
        </w:rPr>
        <w:t xml:space="preserve"> </w:t>
      </w:r>
      <w:r w:rsidR="006770AB" w:rsidRPr="00BF16BB">
        <w:rPr>
          <w:rFonts w:ascii="Times New Roman" w:eastAsia="Times New Roman" w:hAnsi="Times New Roman" w:cs="Times New Roman"/>
          <w:color w:val="000000"/>
          <w:shd w:val="clear" w:color="auto" w:fill="FFFFFF"/>
          <w:lang w:val="en-GB" w:eastAsia="ru-RU"/>
        </w:rPr>
        <w:t xml:space="preserve">Statistical data processing was performed using the SPSS statistical program package (version 17.0 for Windows; SPSS, Chicago, IL). The Kolmogorov-Smirnov test was used to test the sign for normality. </w:t>
      </w:r>
    </w:p>
    <w:p w14:paraId="2BBDC535" w14:textId="15AA8A97" w:rsidR="00163C5C" w:rsidRPr="00F5705B" w:rsidRDefault="00CC5E33" w:rsidP="0075311D">
      <w:pPr>
        <w:ind w:firstLine="708"/>
        <w:jc w:val="both"/>
        <w:rPr>
          <w:rFonts w:ascii="Times New Roman" w:eastAsia="Times New Roman" w:hAnsi="Times New Roman" w:cs="Times New Roman"/>
          <w:b/>
          <w:bCs/>
          <w:color w:val="000000"/>
          <w:shd w:val="clear" w:color="auto" w:fill="FFFFFF"/>
          <w:lang w:val="en-GB" w:eastAsia="ru-RU"/>
        </w:rPr>
      </w:pPr>
      <w:proofErr w:type="spellStart"/>
      <w:r w:rsidRPr="00BF16BB">
        <w:rPr>
          <w:rFonts w:ascii="Times New Roman" w:eastAsia="Times New Roman" w:hAnsi="Times New Roman" w:cs="Times New Roman"/>
          <w:b/>
          <w:bCs/>
          <w:color w:val="000000"/>
          <w:shd w:val="clear" w:color="auto" w:fill="FFFFFF"/>
          <w:lang w:val="en-GB" w:eastAsia="ru-RU"/>
        </w:rPr>
        <w:t>Resuits</w:t>
      </w:r>
      <w:proofErr w:type="spellEnd"/>
    </w:p>
    <w:p w14:paraId="249755A4" w14:textId="4A938012" w:rsidR="008A50AA" w:rsidRDefault="008A6B7D" w:rsidP="0075311D">
      <w:pPr>
        <w:ind w:firstLine="708"/>
        <w:jc w:val="both"/>
        <w:rPr>
          <w:rFonts w:ascii="Times New Roman" w:eastAsia="Times New Roman" w:hAnsi="Times New Roman" w:cs="Times New Roman"/>
          <w:color w:val="000000"/>
          <w:shd w:val="clear" w:color="auto" w:fill="FFFFFF"/>
          <w:lang w:val="en-GB" w:eastAsia="ru-RU"/>
        </w:rPr>
      </w:pPr>
      <w:r w:rsidRPr="00BF16BB">
        <w:rPr>
          <w:rFonts w:ascii="Times New Roman" w:eastAsia="Times New Roman" w:hAnsi="Times New Roman" w:cs="Times New Roman"/>
          <w:color w:val="000000"/>
          <w:shd w:val="clear" w:color="auto" w:fill="FFFFFF"/>
          <w:lang w:val="en-GB" w:eastAsia="ru-RU"/>
        </w:rPr>
        <w:t xml:space="preserve">The majority of patients with NAFLD (65.7%) were diagnosed with moderate (grade B) generalized periodontitis (GP). </w:t>
      </w:r>
      <w:r w:rsidR="00790804" w:rsidRPr="00BF16BB">
        <w:rPr>
          <w:rFonts w:ascii="Times New Roman" w:eastAsia="Times New Roman" w:hAnsi="Times New Roman" w:cs="Times New Roman"/>
          <w:color w:val="000000"/>
          <w:shd w:val="clear" w:color="auto" w:fill="FFFFFF"/>
          <w:lang w:val="en-GB" w:eastAsia="ru-RU"/>
        </w:rPr>
        <w:t xml:space="preserve">According to the </w:t>
      </w:r>
      <w:r w:rsidRPr="00BF16BB">
        <w:rPr>
          <w:rFonts w:ascii="Times New Roman" w:eastAsia="Times New Roman" w:hAnsi="Times New Roman" w:cs="Times New Roman"/>
          <w:color w:val="000000"/>
          <w:shd w:val="clear" w:color="auto" w:fill="FFFFFF"/>
          <w:lang w:val="en-GB" w:eastAsia="ru-RU"/>
        </w:rPr>
        <w:t xml:space="preserve">level of severity of periodontal pathology, it was found that the typical clinical form for 39.9% of patients was </w:t>
      </w:r>
      <w:r w:rsidR="00790804" w:rsidRPr="00BF16BB">
        <w:rPr>
          <w:rFonts w:ascii="Times New Roman" w:eastAsia="Times New Roman" w:hAnsi="Times New Roman" w:cs="Times New Roman"/>
          <w:color w:val="000000"/>
          <w:shd w:val="clear" w:color="auto" w:fill="FFFFFF"/>
          <w:lang w:val="en-GB" w:eastAsia="ru-RU"/>
        </w:rPr>
        <w:t xml:space="preserve">grade II </w:t>
      </w:r>
      <w:r w:rsidR="009D430B" w:rsidRPr="00BF16BB">
        <w:rPr>
          <w:rFonts w:ascii="Times New Roman" w:eastAsia="Times New Roman" w:hAnsi="Times New Roman" w:cs="Times New Roman"/>
          <w:color w:val="000000"/>
          <w:shd w:val="clear" w:color="auto" w:fill="FFFFFF"/>
          <w:lang w:val="en-GB" w:eastAsia="ru-RU"/>
        </w:rPr>
        <w:t>G</w:t>
      </w:r>
      <w:r w:rsidR="00790804" w:rsidRPr="00BF16BB">
        <w:rPr>
          <w:rFonts w:ascii="Times New Roman" w:eastAsia="Times New Roman" w:hAnsi="Times New Roman" w:cs="Times New Roman"/>
          <w:color w:val="000000"/>
          <w:shd w:val="clear" w:color="auto" w:fill="FFFFFF"/>
          <w:lang w:val="en-GB" w:eastAsia="ru-RU"/>
        </w:rPr>
        <w:t>P</w:t>
      </w:r>
      <w:r w:rsidRPr="00BF16BB">
        <w:rPr>
          <w:rFonts w:ascii="Times New Roman" w:eastAsia="Times New Roman" w:hAnsi="Times New Roman" w:cs="Times New Roman"/>
          <w:color w:val="000000"/>
          <w:shd w:val="clear" w:color="auto" w:fill="FFFFFF"/>
          <w:lang w:val="en-GB" w:eastAsia="ru-RU"/>
        </w:rPr>
        <w:t xml:space="preserve">, while 26.7% of people had </w:t>
      </w:r>
      <w:r w:rsidR="009D430B" w:rsidRPr="00BF16BB">
        <w:rPr>
          <w:rFonts w:ascii="Times New Roman" w:eastAsia="Times New Roman" w:hAnsi="Times New Roman" w:cs="Times New Roman"/>
          <w:color w:val="000000"/>
          <w:shd w:val="clear" w:color="auto" w:fill="FFFFFF"/>
          <w:lang w:val="en-GB" w:eastAsia="ru-RU"/>
        </w:rPr>
        <w:t>grade III G</w:t>
      </w:r>
      <w:r w:rsidR="00790804" w:rsidRPr="00BF16BB">
        <w:rPr>
          <w:rFonts w:ascii="Times New Roman" w:eastAsia="Times New Roman" w:hAnsi="Times New Roman" w:cs="Times New Roman"/>
          <w:color w:val="000000"/>
          <w:shd w:val="clear" w:color="auto" w:fill="FFFFFF"/>
          <w:lang w:val="en-GB" w:eastAsia="ru-RU"/>
        </w:rPr>
        <w:t>P</w:t>
      </w:r>
      <w:r w:rsidRPr="00BF16BB">
        <w:rPr>
          <w:rFonts w:ascii="Times New Roman" w:eastAsia="Times New Roman" w:hAnsi="Times New Roman" w:cs="Times New Roman"/>
          <w:color w:val="000000"/>
          <w:shd w:val="clear" w:color="auto" w:fill="FFFFFF"/>
          <w:lang w:val="en-GB" w:eastAsia="ru-RU"/>
        </w:rPr>
        <w:t xml:space="preserve">, and 32.6% did not have inflammatory periodontal pathology </w:t>
      </w:r>
      <w:r w:rsidR="00790804" w:rsidRPr="00BF16BB">
        <w:rPr>
          <w:rFonts w:ascii="Times New Roman" w:eastAsia="Times New Roman" w:hAnsi="Times New Roman" w:cs="Times New Roman"/>
          <w:color w:val="000000"/>
          <w:shd w:val="clear" w:color="auto" w:fill="FFFFFF"/>
          <w:lang w:val="en-GB" w:eastAsia="ru-RU"/>
        </w:rPr>
        <w:t>at all</w:t>
      </w:r>
      <w:r w:rsidRPr="00BF16BB">
        <w:rPr>
          <w:rFonts w:ascii="Times New Roman" w:eastAsia="Times New Roman" w:hAnsi="Times New Roman" w:cs="Times New Roman"/>
          <w:color w:val="000000"/>
          <w:shd w:val="clear" w:color="auto" w:fill="FFFFFF"/>
          <w:lang w:val="en-GB" w:eastAsia="ru-RU"/>
        </w:rPr>
        <w:t xml:space="preserve">. In the control group, only one </w:t>
      </w:r>
      <w:r w:rsidR="009D430B" w:rsidRPr="00BF16BB">
        <w:rPr>
          <w:rFonts w:ascii="Times New Roman" w:eastAsia="Times New Roman" w:hAnsi="Times New Roman" w:cs="Times New Roman"/>
          <w:color w:val="000000"/>
          <w:shd w:val="clear" w:color="auto" w:fill="FFFFFF"/>
          <w:lang w:val="en-GB" w:eastAsia="ru-RU"/>
        </w:rPr>
        <w:t xml:space="preserve">subject </w:t>
      </w:r>
      <w:r w:rsidRPr="00BF16BB">
        <w:rPr>
          <w:rFonts w:ascii="Times New Roman" w:eastAsia="Times New Roman" w:hAnsi="Times New Roman" w:cs="Times New Roman"/>
          <w:color w:val="000000"/>
          <w:shd w:val="clear" w:color="auto" w:fill="FFFFFF"/>
          <w:lang w:val="en-GB" w:eastAsia="ru-RU"/>
        </w:rPr>
        <w:t xml:space="preserve">had </w:t>
      </w:r>
      <w:r w:rsidR="009D430B" w:rsidRPr="00BF16BB">
        <w:rPr>
          <w:rFonts w:ascii="Times New Roman" w:eastAsia="Times New Roman" w:hAnsi="Times New Roman" w:cs="Times New Roman"/>
          <w:color w:val="000000"/>
          <w:shd w:val="clear" w:color="auto" w:fill="FFFFFF"/>
          <w:lang w:val="en-GB" w:eastAsia="ru-RU"/>
        </w:rPr>
        <w:t>grade</w:t>
      </w:r>
      <w:r w:rsidRPr="00BF16BB">
        <w:rPr>
          <w:rFonts w:ascii="Times New Roman" w:eastAsia="Times New Roman" w:hAnsi="Times New Roman" w:cs="Times New Roman"/>
          <w:color w:val="000000"/>
          <w:shd w:val="clear" w:color="auto" w:fill="FFFFFF"/>
          <w:lang w:val="en-GB" w:eastAsia="ru-RU"/>
        </w:rPr>
        <w:t xml:space="preserve"> II GP, while others had healthy periodontium</w:t>
      </w:r>
      <w:r w:rsidR="00163C5C">
        <w:rPr>
          <w:rFonts w:ascii="Times New Roman" w:eastAsia="Times New Roman" w:hAnsi="Times New Roman" w:cs="Times New Roman"/>
          <w:color w:val="000000"/>
          <w:shd w:val="clear" w:color="auto" w:fill="FFFFFF"/>
          <w:lang w:val="en-GB" w:eastAsia="ru-RU"/>
        </w:rPr>
        <w:t xml:space="preserve">. </w:t>
      </w:r>
      <w:r w:rsidRPr="00BF16BB">
        <w:rPr>
          <w:rFonts w:ascii="Times New Roman" w:eastAsia="Times New Roman" w:hAnsi="Times New Roman" w:cs="Times New Roman"/>
          <w:color w:val="000000"/>
          <w:shd w:val="clear" w:color="auto" w:fill="FFFFFF"/>
          <w:lang w:val="en-GB" w:eastAsia="ru-RU"/>
        </w:rPr>
        <w:t xml:space="preserve"> </w:t>
      </w:r>
    </w:p>
    <w:p w14:paraId="6186E90B" w14:textId="08DE74D0" w:rsidR="00DA12DF" w:rsidRPr="00BF16BB" w:rsidRDefault="009D430B" w:rsidP="0075311D">
      <w:pPr>
        <w:ind w:firstLine="708"/>
        <w:jc w:val="both"/>
        <w:rPr>
          <w:rFonts w:ascii="Times New Roman" w:eastAsia="Times New Roman" w:hAnsi="Times New Roman" w:cs="Times New Roman"/>
          <w:color w:val="000000"/>
          <w:shd w:val="clear" w:color="auto" w:fill="FFFFFF"/>
          <w:lang w:val="en-GB" w:eastAsia="ru-RU"/>
        </w:rPr>
      </w:pPr>
      <w:r w:rsidRPr="00BF16BB">
        <w:rPr>
          <w:rFonts w:ascii="Times New Roman" w:eastAsia="Times New Roman" w:hAnsi="Times New Roman" w:cs="Times New Roman"/>
          <w:color w:val="000000"/>
          <w:shd w:val="clear" w:color="auto" w:fill="FFFFFF"/>
          <w:lang w:val="en-GB" w:eastAsia="ru-RU"/>
        </w:rPr>
        <w:t xml:space="preserve">Its highest level was recorded in patients with NAFLD, which was characteristic </w:t>
      </w:r>
      <w:r w:rsidR="00DD54B4" w:rsidRPr="00BF16BB">
        <w:rPr>
          <w:rFonts w:ascii="Times New Roman" w:eastAsia="Times New Roman" w:hAnsi="Times New Roman" w:cs="Times New Roman"/>
          <w:color w:val="000000"/>
          <w:shd w:val="clear" w:color="auto" w:fill="FFFFFF"/>
          <w:lang w:val="en-GB" w:eastAsia="ru-RU"/>
        </w:rPr>
        <w:t>on</w:t>
      </w:r>
      <w:r w:rsidRPr="00BF16BB">
        <w:rPr>
          <w:rFonts w:ascii="Times New Roman" w:eastAsia="Times New Roman" w:hAnsi="Times New Roman" w:cs="Times New Roman"/>
          <w:color w:val="000000"/>
          <w:shd w:val="clear" w:color="auto" w:fill="FFFFFF"/>
          <w:lang w:val="en-GB" w:eastAsia="ru-RU"/>
        </w:rPr>
        <w:t xml:space="preserve"> the background of </w:t>
      </w:r>
      <w:r w:rsidR="00DD54B4" w:rsidRPr="00BF16BB">
        <w:rPr>
          <w:rFonts w:ascii="Times New Roman" w:eastAsia="Times New Roman" w:hAnsi="Times New Roman" w:cs="Times New Roman"/>
          <w:color w:val="000000"/>
          <w:shd w:val="clear" w:color="auto" w:fill="FFFFFF"/>
          <w:lang w:val="en-GB" w:eastAsia="ru-RU"/>
        </w:rPr>
        <w:t>d</w:t>
      </w:r>
      <w:r w:rsidRPr="00BF16BB">
        <w:rPr>
          <w:rFonts w:ascii="Times New Roman" w:eastAsia="Times New Roman" w:hAnsi="Times New Roman" w:cs="Times New Roman"/>
          <w:color w:val="000000"/>
          <w:shd w:val="clear" w:color="auto" w:fill="FFFFFF"/>
          <w:lang w:val="en-GB" w:eastAsia="ru-RU"/>
        </w:rPr>
        <w:t>ecrease</w:t>
      </w:r>
      <w:r w:rsidR="00DD54B4" w:rsidRPr="00BF16BB">
        <w:rPr>
          <w:rFonts w:ascii="Times New Roman" w:eastAsia="Times New Roman" w:hAnsi="Times New Roman" w:cs="Times New Roman"/>
          <w:color w:val="000000"/>
          <w:shd w:val="clear" w:color="auto" w:fill="FFFFFF"/>
          <w:lang w:val="en-GB" w:eastAsia="ru-RU"/>
        </w:rPr>
        <w:t>d</w:t>
      </w:r>
      <w:r w:rsidRPr="00BF16BB">
        <w:rPr>
          <w:rFonts w:ascii="Times New Roman" w:eastAsia="Times New Roman" w:hAnsi="Times New Roman" w:cs="Times New Roman"/>
          <w:color w:val="000000"/>
          <w:shd w:val="clear" w:color="auto" w:fill="FFFFFF"/>
          <w:lang w:val="en-GB" w:eastAsia="ru-RU"/>
        </w:rPr>
        <w:t xml:space="preserve"> adaptation capabilities of the periodontium and the activity of local </w:t>
      </w:r>
      <w:r w:rsidRPr="00BF16BB">
        <w:rPr>
          <w:rFonts w:ascii="Times New Roman" w:eastAsia="Times New Roman" w:hAnsi="Times New Roman" w:cs="Times New Roman"/>
          <w:color w:val="000000"/>
          <w:shd w:val="clear" w:color="auto" w:fill="FFFFFF"/>
          <w:lang w:val="en-GB" w:eastAsia="ru-RU"/>
        </w:rPr>
        <w:lastRenderedPageBreak/>
        <w:t xml:space="preserve">immune system, as well as an unsatisfactory level of oral hygiene. The proteolytic enzyme gingipain, which is secreted </w:t>
      </w:r>
      <w:r w:rsidR="00192ABA" w:rsidRPr="00BF16BB">
        <w:rPr>
          <w:rFonts w:ascii="Times New Roman" w:eastAsia="Times New Roman" w:hAnsi="Times New Roman" w:cs="Times New Roman"/>
          <w:color w:val="000000"/>
          <w:shd w:val="clear" w:color="auto" w:fill="FFFFFF"/>
          <w:lang w:val="en-GB" w:eastAsia="ru-RU"/>
        </w:rPr>
        <w:t xml:space="preserve">only </w:t>
      </w:r>
      <w:r w:rsidRPr="00BF16BB">
        <w:rPr>
          <w:rFonts w:ascii="Times New Roman" w:eastAsia="Times New Roman" w:hAnsi="Times New Roman" w:cs="Times New Roman"/>
          <w:color w:val="000000"/>
          <w:shd w:val="clear" w:color="auto" w:fill="FFFFFF"/>
          <w:lang w:val="en-GB" w:eastAsia="ru-RU"/>
        </w:rPr>
        <w:t xml:space="preserve">by P. gingivalis, also had the highest </w:t>
      </w:r>
      <w:r w:rsidR="00192ABA" w:rsidRPr="00BF16BB">
        <w:rPr>
          <w:rFonts w:ascii="Times New Roman" w:eastAsia="Times New Roman" w:hAnsi="Times New Roman" w:cs="Times New Roman"/>
          <w:color w:val="000000"/>
          <w:shd w:val="clear" w:color="auto" w:fill="FFFFFF"/>
          <w:lang w:val="en-GB" w:eastAsia="ru-RU"/>
        </w:rPr>
        <w:t>values</w:t>
      </w:r>
      <w:r w:rsidRPr="00BF16BB">
        <w:rPr>
          <w:rFonts w:ascii="Times New Roman" w:eastAsia="Times New Roman" w:hAnsi="Times New Roman" w:cs="Times New Roman"/>
          <w:color w:val="000000"/>
          <w:shd w:val="clear" w:color="auto" w:fill="FFFFFF"/>
          <w:lang w:val="en-GB" w:eastAsia="ru-RU"/>
        </w:rPr>
        <w:t xml:space="preserve"> in the main group</w:t>
      </w:r>
      <w:r w:rsidR="00163C5C">
        <w:rPr>
          <w:rFonts w:ascii="Times New Roman" w:eastAsia="Times New Roman" w:hAnsi="Times New Roman" w:cs="Times New Roman"/>
          <w:color w:val="000000"/>
          <w:shd w:val="clear" w:color="auto" w:fill="FFFFFF"/>
          <w:lang w:val="en-GB" w:eastAsia="ru-RU"/>
        </w:rPr>
        <w:t xml:space="preserve">. </w:t>
      </w:r>
      <w:r w:rsidRPr="00BF16BB">
        <w:rPr>
          <w:rFonts w:ascii="Times New Roman" w:eastAsia="Times New Roman" w:hAnsi="Times New Roman" w:cs="Times New Roman"/>
          <w:color w:val="000000"/>
          <w:shd w:val="clear" w:color="auto" w:fill="FFFFFF"/>
          <w:lang w:val="en-GB" w:eastAsia="ru-RU"/>
        </w:rPr>
        <w:t xml:space="preserve"> </w:t>
      </w:r>
    </w:p>
    <w:p w14:paraId="6E88F4A5" w14:textId="3B058D9A" w:rsidR="00192ABA" w:rsidRPr="00BF16BB" w:rsidRDefault="00192ABA" w:rsidP="0075311D">
      <w:pPr>
        <w:jc w:val="both"/>
        <w:rPr>
          <w:rFonts w:ascii="Times New Roman" w:eastAsia="Times New Roman" w:hAnsi="Times New Roman" w:cs="Times New Roman"/>
          <w:color w:val="000000"/>
          <w:shd w:val="clear" w:color="auto" w:fill="FFFFFF"/>
          <w:lang w:val="en-GB" w:eastAsia="ru-RU"/>
        </w:rPr>
      </w:pPr>
      <w:r w:rsidRPr="00BF16BB">
        <w:rPr>
          <w:rFonts w:ascii="Times New Roman" w:eastAsia="Times New Roman" w:hAnsi="Times New Roman" w:cs="Times New Roman"/>
          <w:color w:val="000000"/>
          <w:shd w:val="clear" w:color="auto" w:fill="FFFFFF"/>
          <w:lang w:val="en-GB" w:eastAsia="ru-RU"/>
        </w:rPr>
        <w:t xml:space="preserve">When </w:t>
      </w:r>
      <w:r w:rsidR="00E03C14" w:rsidRPr="00BF16BB">
        <w:rPr>
          <w:rFonts w:ascii="Times New Roman" w:eastAsia="Times New Roman" w:hAnsi="Times New Roman" w:cs="Times New Roman"/>
          <w:color w:val="000000"/>
          <w:shd w:val="clear" w:color="auto" w:fill="FFFFFF"/>
          <w:lang w:val="en-GB" w:eastAsia="ru-RU"/>
        </w:rPr>
        <w:t>analysing</w:t>
      </w:r>
      <w:r w:rsidRPr="00BF16BB">
        <w:rPr>
          <w:rFonts w:ascii="Times New Roman" w:eastAsia="Times New Roman" w:hAnsi="Times New Roman" w:cs="Times New Roman"/>
          <w:color w:val="000000"/>
          <w:shd w:val="clear" w:color="auto" w:fill="FFFFFF"/>
          <w:lang w:val="en-GB" w:eastAsia="ru-RU"/>
        </w:rPr>
        <w:t xml:space="preserve"> the correlation interaction, a positive dynamic was found between P. gingivalis and the presence of GP (r=0.652; p=0.000) and between gingipain and GP (r=0.510; p=0.006).</w:t>
      </w:r>
    </w:p>
    <w:p w14:paraId="38ED04C2" w14:textId="77777777" w:rsidR="00163C5C" w:rsidRDefault="00D86783" w:rsidP="0075311D">
      <w:pPr>
        <w:ind w:firstLine="708"/>
        <w:jc w:val="both"/>
        <w:rPr>
          <w:rFonts w:ascii="Times New Roman" w:eastAsia="Times New Roman" w:hAnsi="Times New Roman" w:cs="Times New Roman"/>
          <w:color w:val="000000"/>
          <w:shd w:val="clear" w:color="auto" w:fill="FFFFFF"/>
          <w:lang w:val="en-GB" w:eastAsia="ru-RU"/>
        </w:rPr>
      </w:pPr>
      <w:r w:rsidRPr="00BF16BB">
        <w:rPr>
          <w:rFonts w:ascii="Times New Roman" w:eastAsia="Times New Roman" w:hAnsi="Times New Roman" w:cs="Times New Roman"/>
          <w:color w:val="000000"/>
          <w:shd w:val="clear" w:color="auto" w:fill="FFFFFF"/>
          <w:lang w:val="en-GB" w:eastAsia="ru-RU"/>
        </w:rPr>
        <w:t xml:space="preserve">We’ve found a significantly positive correlation between P. gingivalis and PBI (r=0.457; p=0.002) and between P. gingivalis and probing depth (r=0.391; p=0.009). </w:t>
      </w:r>
    </w:p>
    <w:p w14:paraId="1A5515F1" w14:textId="01F6CD3E" w:rsidR="006F5BB0" w:rsidRPr="0075311D" w:rsidRDefault="00D86783" w:rsidP="0075311D">
      <w:pPr>
        <w:ind w:firstLine="708"/>
        <w:jc w:val="both"/>
        <w:rPr>
          <w:rFonts w:ascii="Times New Roman" w:eastAsia="Times New Roman" w:hAnsi="Times New Roman" w:cs="Times New Roman"/>
          <w:color w:val="000000"/>
          <w:shd w:val="clear" w:color="auto" w:fill="FFFFFF"/>
          <w:lang w:val="en-GB" w:eastAsia="ru-RU"/>
        </w:rPr>
      </w:pPr>
      <w:r w:rsidRPr="00BF16BB">
        <w:rPr>
          <w:rFonts w:ascii="Times New Roman" w:eastAsia="Times New Roman" w:hAnsi="Times New Roman" w:cs="Times New Roman"/>
          <w:color w:val="000000"/>
          <w:shd w:val="clear" w:color="auto" w:fill="FFFFFF"/>
          <w:lang w:val="en-GB" w:eastAsia="ru-RU"/>
        </w:rPr>
        <w:t xml:space="preserve">Indeed, an increase in the number of this periodontopathogen, a change in its phenotype and virulence, the secretion of gingipain contributes to the onset of an inflammatory reaction in periodontal tissues, as well as vascular permeability, and therefore the PBI index increases. Conversely, when treating GP, decreased PBI index facilitates the normalization of the P. gingivalis value and its subsequent remission. It should be noted that reduced depth of gingival pocket when treating GP helps to eliminate a </w:t>
      </w:r>
      <w:r w:rsidR="00E03C14" w:rsidRPr="00BF16BB">
        <w:rPr>
          <w:rFonts w:ascii="Times New Roman" w:eastAsia="Times New Roman" w:hAnsi="Times New Roman" w:cs="Times New Roman"/>
          <w:color w:val="000000"/>
          <w:shd w:val="clear" w:color="auto" w:fill="FFFFFF"/>
          <w:lang w:val="en-GB" w:eastAsia="ru-RU"/>
        </w:rPr>
        <w:t>favourable</w:t>
      </w:r>
      <w:r w:rsidRPr="00BF16BB">
        <w:rPr>
          <w:rFonts w:ascii="Times New Roman" w:eastAsia="Times New Roman" w:hAnsi="Times New Roman" w:cs="Times New Roman"/>
          <w:color w:val="000000"/>
          <w:shd w:val="clear" w:color="auto" w:fill="FFFFFF"/>
          <w:lang w:val="en-GB" w:eastAsia="ru-RU"/>
        </w:rPr>
        <w:t xml:space="preserve"> anaerobic environment for the quantitative growth of P. </w:t>
      </w:r>
      <w:proofErr w:type="spellStart"/>
      <w:r w:rsidRPr="00BF16BB">
        <w:rPr>
          <w:rFonts w:ascii="Times New Roman" w:eastAsia="Times New Roman" w:hAnsi="Times New Roman" w:cs="Times New Roman"/>
          <w:color w:val="000000"/>
          <w:shd w:val="clear" w:color="auto" w:fill="FFFFFF"/>
          <w:lang w:val="en-GB" w:eastAsia="ru-RU"/>
        </w:rPr>
        <w:t>gingivalis</w:t>
      </w:r>
      <w:proofErr w:type="spellEnd"/>
      <w:r w:rsidRPr="00BF16BB">
        <w:rPr>
          <w:rFonts w:ascii="Times New Roman" w:eastAsia="Times New Roman" w:hAnsi="Times New Roman" w:cs="Times New Roman"/>
          <w:color w:val="000000"/>
          <w:shd w:val="clear" w:color="auto" w:fill="FFFFFF"/>
          <w:lang w:val="en-GB" w:eastAsia="ru-RU"/>
        </w:rPr>
        <w:t>.</w:t>
      </w:r>
    </w:p>
    <w:p w14:paraId="00E7C846" w14:textId="23EBB1D1" w:rsidR="00977BF5" w:rsidRPr="00BF16BB" w:rsidRDefault="00B22394" w:rsidP="0075311D">
      <w:pPr>
        <w:ind w:firstLine="708"/>
        <w:jc w:val="both"/>
        <w:rPr>
          <w:rFonts w:ascii="Times New Roman" w:eastAsia="Times New Roman" w:hAnsi="Times New Roman" w:cs="Times New Roman"/>
          <w:b/>
          <w:bCs/>
          <w:color w:val="000000"/>
          <w:shd w:val="clear" w:color="auto" w:fill="FFFFFF"/>
          <w:lang w:val="en-GB" w:eastAsia="ru-RU"/>
        </w:rPr>
      </w:pPr>
      <w:r w:rsidRPr="00BF16BB">
        <w:rPr>
          <w:rFonts w:ascii="Times New Roman" w:eastAsia="Times New Roman" w:hAnsi="Times New Roman" w:cs="Times New Roman"/>
          <w:b/>
          <w:bCs/>
          <w:color w:val="000000"/>
          <w:shd w:val="clear" w:color="auto" w:fill="FFFFFF"/>
          <w:lang w:val="en-GB" w:eastAsia="ru-RU"/>
        </w:rPr>
        <w:t>Conclusions</w:t>
      </w:r>
    </w:p>
    <w:p w14:paraId="17F98EFF" w14:textId="393DE64C" w:rsidR="00F67ED9" w:rsidRPr="00BF16BB" w:rsidRDefault="00F4729E" w:rsidP="0075311D">
      <w:pPr>
        <w:ind w:firstLine="708"/>
        <w:jc w:val="both"/>
        <w:rPr>
          <w:rFonts w:ascii="Times New Roman" w:eastAsia="Times New Roman" w:hAnsi="Times New Roman" w:cs="Times New Roman"/>
          <w:color w:val="000000"/>
          <w:shd w:val="clear" w:color="auto" w:fill="FFFFFF"/>
          <w:lang w:val="en-GB" w:eastAsia="ru-RU"/>
        </w:rPr>
      </w:pPr>
      <w:r w:rsidRPr="00BF16BB">
        <w:rPr>
          <w:rFonts w:ascii="Times New Roman" w:eastAsia="Times New Roman" w:hAnsi="Times New Roman" w:cs="Times New Roman"/>
          <w:color w:val="000000"/>
          <w:shd w:val="clear" w:color="auto" w:fill="FFFFFF"/>
          <w:lang w:val="en-GB" w:eastAsia="ru-RU"/>
        </w:rPr>
        <w:t>The a</w:t>
      </w:r>
      <w:r w:rsidR="00174BB3" w:rsidRPr="00BF16BB">
        <w:rPr>
          <w:rFonts w:ascii="Times New Roman" w:eastAsia="Times New Roman" w:hAnsi="Times New Roman" w:cs="Times New Roman"/>
          <w:color w:val="000000"/>
          <w:shd w:val="clear" w:color="auto" w:fill="FFFFFF"/>
          <w:lang w:val="en-GB" w:eastAsia="ru-RU"/>
        </w:rPr>
        <w:t xml:space="preserve">nalysis and determination of </w:t>
      </w:r>
      <w:r w:rsidRPr="00BF16BB">
        <w:rPr>
          <w:rFonts w:ascii="Times New Roman" w:eastAsia="Times New Roman" w:hAnsi="Times New Roman" w:cs="Times New Roman"/>
          <w:color w:val="000000"/>
          <w:shd w:val="clear" w:color="auto" w:fill="FFFFFF"/>
          <w:lang w:val="en-GB" w:eastAsia="ru-RU"/>
        </w:rPr>
        <w:t>P. gingivalis</w:t>
      </w:r>
      <w:r w:rsidR="00174BB3" w:rsidRPr="00BF16BB">
        <w:rPr>
          <w:rFonts w:ascii="Times New Roman" w:eastAsia="Times New Roman" w:hAnsi="Times New Roman" w:cs="Times New Roman"/>
          <w:color w:val="000000"/>
          <w:shd w:val="clear" w:color="auto" w:fill="FFFFFF"/>
          <w:lang w:val="en-GB" w:eastAsia="ru-RU"/>
        </w:rPr>
        <w:t xml:space="preserve">/gingipain </w:t>
      </w:r>
      <w:r w:rsidRPr="00BF16BB">
        <w:rPr>
          <w:rFonts w:ascii="Times New Roman" w:eastAsia="Times New Roman" w:hAnsi="Times New Roman" w:cs="Times New Roman"/>
          <w:color w:val="000000"/>
          <w:shd w:val="clear" w:color="auto" w:fill="FFFFFF"/>
          <w:lang w:val="en-GB" w:eastAsia="ru-RU"/>
        </w:rPr>
        <w:t xml:space="preserve">correlation ratio </w:t>
      </w:r>
      <w:r w:rsidR="00174BB3" w:rsidRPr="00BF16BB">
        <w:rPr>
          <w:rFonts w:ascii="Times New Roman" w:eastAsia="Times New Roman" w:hAnsi="Times New Roman" w:cs="Times New Roman"/>
          <w:color w:val="000000"/>
          <w:shd w:val="clear" w:color="auto" w:fill="FFFFFF"/>
          <w:lang w:val="en-GB" w:eastAsia="ru-RU"/>
        </w:rPr>
        <w:t xml:space="preserve">with special indices available at a regular dental appointment allows the dentist to monitor the dynamics of inflammation </w:t>
      </w:r>
      <w:r w:rsidRPr="00BF16BB">
        <w:rPr>
          <w:rFonts w:ascii="Times New Roman" w:eastAsia="Times New Roman" w:hAnsi="Times New Roman" w:cs="Times New Roman"/>
          <w:color w:val="000000"/>
          <w:shd w:val="clear" w:color="auto" w:fill="FFFFFF"/>
          <w:lang w:val="en-GB" w:eastAsia="ru-RU"/>
        </w:rPr>
        <w:t>in GP</w:t>
      </w:r>
      <w:r w:rsidR="00174BB3" w:rsidRPr="00BF16BB">
        <w:rPr>
          <w:rFonts w:ascii="Times New Roman" w:eastAsia="Times New Roman" w:hAnsi="Times New Roman" w:cs="Times New Roman"/>
          <w:color w:val="000000"/>
          <w:shd w:val="clear" w:color="auto" w:fill="FFFFFF"/>
          <w:lang w:val="en-GB" w:eastAsia="ru-RU"/>
        </w:rPr>
        <w:t xml:space="preserve"> patients</w:t>
      </w:r>
      <w:r w:rsidRPr="00BF16BB">
        <w:rPr>
          <w:rFonts w:ascii="Times New Roman" w:eastAsia="Times New Roman" w:hAnsi="Times New Roman" w:cs="Times New Roman"/>
          <w:color w:val="000000"/>
          <w:shd w:val="clear" w:color="auto" w:fill="FFFFFF"/>
          <w:lang w:val="en-GB" w:eastAsia="ru-RU"/>
        </w:rPr>
        <w:t xml:space="preserve"> and </w:t>
      </w:r>
      <w:r w:rsidR="00174BB3" w:rsidRPr="00BF16BB">
        <w:rPr>
          <w:rFonts w:ascii="Times New Roman" w:eastAsia="Times New Roman" w:hAnsi="Times New Roman" w:cs="Times New Roman"/>
          <w:color w:val="000000"/>
          <w:shd w:val="clear" w:color="auto" w:fill="FFFFFF"/>
          <w:lang w:val="en-GB" w:eastAsia="ru-RU"/>
        </w:rPr>
        <w:t>predict the onset and course of remission with subsequent stabilization</w:t>
      </w:r>
      <w:r w:rsidR="000954D7" w:rsidRPr="00BF16BB">
        <w:rPr>
          <w:rFonts w:ascii="Times New Roman" w:eastAsia="Times New Roman" w:hAnsi="Times New Roman" w:cs="Times New Roman"/>
          <w:color w:val="000000"/>
          <w:shd w:val="clear" w:color="auto" w:fill="FFFFFF"/>
          <w:lang w:val="en-GB" w:eastAsia="ru-RU"/>
        </w:rPr>
        <w:t>.</w:t>
      </w:r>
      <w:r w:rsidR="001F3A58" w:rsidRPr="00BF16BB">
        <w:rPr>
          <w:rFonts w:ascii="Times New Roman" w:eastAsia="Times New Roman" w:hAnsi="Times New Roman" w:cs="Times New Roman"/>
          <w:color w:val="000000"/>
          <w:shd w:val="clear" w:color="auto" w:fill="FFFFFF"/>
          <w:lang w:val="en-GB" w:eastAsia="ru-RU"/>
        </w:rPr>
        <w:t xml:space="preserve"> </w:t>
      </w:r>
    </w:p>
    <w:p w14:paraId="3E709701" w14:textId="3E35865D" w:rsidR="00CC5E33" w:rsidRPr="00BF16BB" w:rsidRDefault="00CC5E33" w:rsidP="0075311D">
      <w:pPr>
        <w:ind w:firstLine="284"/>
        <w:jc w:val="both"/>
        <w:rPr>
          <w:rFonts w:ascii="Times New Roman" w:hAnsi="Times New Roman" w:cs="Times New Roman"/>
          <w:b/>
          <w:bCs/>
          <w:lang w:val="en-GB"/>
        </w:rPr>
      </w:pPr>
      <w:r w:rsidRPr="00BF16BB">
        <w:rPr>
          <w:rFonts w:ascii="Times New Roman" w:hAnsi="Times New Roman" w:cs="Times New Roman"/>
          <w:b/>
          <w:bCs/>
          <w:lang w:val="en-GB"/>
        </w:rPr>
        <w:t xml:space="preserve"> References</w:t>
      </w:r>
    </w:p>
    <w:p w14:paraId="40710BEA" w14:textId="77777777" w:rsidR="00500C9D" w:rsidRPr="00BF16BB" w:rsidRDefault="00500C9D" w:rsidP="0075311D">
      <w:pPr>
        <w:pStyle w:val="html-x"/>
        <w:numPr>
          <w:ilvl w:val="0"/>
          <w:numId w:val="1"/>
        </w:numPr>
        <w:spacing w:before="0" w:beforeAutospacing="0" w:after="0" w:afterAutospacing="0"/>
        <w:jc w:val="both"/>
        <w:rPr>
          <w:color w:val="222222"/>
        </w:rPr>
      </w:pPr>
      <w:r w:rsidRPr="00BF16BB">
        <w:rPr>
          <w:color w:val="222222"/>
        </w:rPr>
        <w:t>Abusleme, L</w:t>
      </w:r>
      <w:r w:rsidRPr="00BF16BB">
        <w:rPr>
          <w:color w:val="222222"/>
          <w:lang w:val="en-US"/>
        </w:rPr>
        <w:t>,</w:t>
      </w:r>
      <w:r w:rsidRPr="00BF16BB">
        <w:rPr>
          <w:color w:val="222222"/>
        </w:rPr>
        <w:t xml:space="preserve"> Hoare, A</w:t>
      </w:r>
      <w:r w:rsidRPr="00BF16BB">
        <w:rPr>
          <w:color w:val="222222"/>
          <w:lang w:val="en-US"/>
        </w:rPr>
        <w:t>,</w:t>
      </w:r>
      <w:r w:rsidRPr="00BF16BB">
        <w:rPr>
          <w:color w:val="222222"/>
        </w:rPr>
        <w:t xml:space="preserve"> Hong, BY</w:t>
      </w:r>
      <w:r w:rsidRPr="00BF16BB">
        <w:rPr>
          <w:color w:val="222222"/>
          <w:lang w:val="en-US"/>
        </w:rPr>
        <w:t>,</w:t>
      </w:r>
      <w:r w:rsidRPr="00BF16BB">
        <w:rPr>
          <w:color w:val="222222"/>
        </w:rPr>
        <w:t xml:space="preserve"> Diaz, PI. </w:t>
      </w:r>
      <w:r w:rsidRPr="00BF16BB">
        <w:rPr>
          <w:color w:val="222222"/>
          <w:lang w:val="en-US"/>
        </w:rPr>
        <w:t xml:space="preserve">2021. </w:t>
      </w:r>
      <w:r w:rsidRPr="00BF16BB">
        <w:rPr>
          <w:color w:val="222222"/>
        </w:rPr>
        <w:t>Microbial signatures of health, gingivitis, and periodontitis.</w:t>
      </w:r>
      <w:r w:rsidRPr="00BF16BB">
        <w:rPr>
          <w:rStyle w:val="apple-converted-space"/>
          <w:color w:val="222222"/>
        </w:rPr>
        <w:t> </w:t>
      </w:r>
      <w:r w:rsidRPr="00BF16BB">
        <w:rPr>
          <w:rStyle w:val="html-italic"/>
          <w:color w:val="222222"/>
        </w:rPr>
        <w:t>Periodontol. 2000</w:t>
      </w:r>
      <w:r w:rsidRPr="00BF16BB">
        <w:rPr>
          <w:rStyle w:val="apple-converted-space"/>
          <w:color w:val="222222"/>
          <w:lang w:val="en-US"/>
        </w:rPr>
        <w:t>.</w:t>
      </w:r>
      <w:r w:rsidRPr="00BF16BB">
        <w:rPr>
          <w:rStyle w:val="apple-converted-space"/>
          <w:color w:val="222222"/>
        </w:rPr>
        <w:t> </w:t>
      </w:r>
      <w:r w:rsidRPr="00BF16BB">
        <w:rPr>
          <w:rStyle w:val="apple-converted-space"/>
          <w:color w:val="222222"/>
          <w:lang w:val="en-US"/>
        </w:rPr>
        <w:t>(</w:t>
      </w:r>
      <w:r w:rsidRPr="00BF16BB">
        <w:rPr>
          <w:rStyle w:val="html-italic"/>
          <w:color w:val="222222"/>
        </w:rPr>
        <w:t>86</w:t>
      </w:r>
      <w:r w:rsidRPr="00BF16BB">
        <w:rPr>
          <w:rStyle w:val="html-italic"/>
          <w:color w:val="222222"/>
          <w:lang w:val="en-US"/>
        </w:rPr>
        <w:t>)</w:t>
      </w:r>
      <w:r w:rsidRPr="00BF16BB">
        <w:rPr>
          <w:color w:val="222222"/>
          <w:lang w:val="en-US"/>
        </w:rPr>
        <w:t>:</w:t>
      </w:r>
      <w:r w:rsidRPr="00BF16BB">
        <w:rPr>
          <w:color w:val="222222"/>
        </w:rPr>
        <w:t xml:space="preserve"> 57–78</w:t>
      </w:r>
    </w:p>
    <w:p w14:paraId="5A26A788" w14:textId="77777777" w:rsidR="00500C9D" w:rsidRPr="00BF16BB" w:rsidRDefault="00500C9D" w:rsidP="0075311D">
      <w:pPr>
        <w:pStyle w:val="aa"/>
        <w:numPr>
          <w:ilvl w:val="0"/>
          <w:numId w:val="1"/>
        </w:numPr>
        <w:jc w:val="both"/>
      </w:pPr>
      <w:r w:rsidRPr="00BF16BB">
        <w:rPr>
          <w:color w:val="212121"/>
          <w:shd w:val="clear" w:color="auto" w:fill="FFFFFF"/>
        </w:rPr>
        <w:t>Castillo</w:t>
      </w:r>
      <w:r w:rsidRPr="00BF16BB">
        <w:rPr>
          <w:color w:val="212121"/>
          <w:shd w:val="clear" w:color="auto" w:fill="FFFFFF"/>
          <w:lang w:val="en-US"/>
        </w:rPr>
        <w:t>,</w:t>
      </w:r>
      <w:r w:rsidRPr="00BF16BB">
        <w:rPr>
          <w:color w:val="212121"/>
          <w:shd w:val="clear" w:color="auto" w:fill="FFFFFF"/>
        </w:rPr>
        <w:t xml:space="preserve"> Y, Castellanos</w:t>
      </w:r>
      <w:r w:rsidRPr="00BF16BB">
        <w:rPr>
          <w:color w:val="212121"/>
          <w:shd w:val="clear" w:color="auto" w:fill="FFFFFF"/>
          <w:lang w:val="en-US"/>
        </w:rPr>
        <w:t>,</w:t>
      </w:r>
      <w:r w:rsidRPr="00BF16BB">
        <w:rPr>
          <w:color w:val="212121"/>
          <w:shd w:val="clear" w:color="auto" w:fill="FFFFFF"/>
        </w:rPr>
        <w:t xml:space="preserve"> JE, Lafaurie</w:t>
      </w:r>
      <w:r w:rsidRPr="00BF16BB">
        <w:rPr>
          <w:color w:val="212121"/>
          <w:shd w:val="clear" w:color="auto" w:fill="FFFFFF"/>
          <w:lang w:val="en-US"/>
        </w:rPr>
        <w:t>,</w:t>
      </w:r>
      <w:r w:rsidRPr="00BF16BB">
        <w:rPr>
          <w:color w:val="212121"/>
          <w:shd w:val="clear" w:color="auto" w:fill="FFFFFF"/>
        </w:rPr>
        <w:t xml:space="preserve"> GI, Castillo</w:t>
      </w:r>
      <w:r w:rsidRPr="00BF16BB">
        <w:rPr>
          <w:color w:val="212121"/>
          <w:shd w:val="clear" w:color="auto" w:fill="FFFFFF"/>
          <w:lang w:val="en-US"/>
        </w:rPr>
        <w:t>,</w:t>
      </w:r>
      <w:r w:rsidRPr="00BF16BB">
        <w:rPr>
          <w:color w:val="212121"/>
          <w:shd w:val="clear" w:color="auto" w:fill="FFFFFF"/>
        </w:rPr>
        <w:t xml:space="preserve"> DM. </w:t>
      </w:r>
      <w:r w:rsidRPr="00BF16BB">
        <w:rPr>
          <w:color w:val="212121"/>
          <w:shd w:val="clear" w:color="auto" w:fill="FFFFFF"/>
          <w:lang w:val="en-US"/>
        </w:rPr>
        <w:t xml:space="preserve">2022. </w:t>
      </w:r>
      <w:r w:rsidRPr="00BF16BB">
        <w:rPr>
          <w:color w:val="212121"/>
          <w:shd w:val="clear" w:color="auto" w:fill="FFFFFF"/>
        </w:rPr>
        <w:t xml:space="preserve">Porphyromonas gingivalis outer membrane vesicles modulate cytokine and chemokine production by gingipain-dependent mechanisms in human macrophages. Arch Oral Biol. </w:t>
      </w:r>
      <w:r w:rsidRPr="00BF16BB">
        <w:rPr>
          <w:color w:val="212121"/>
          <w:shd w:val="clear" w:color="auto" w:fill="FFFFFF"/>
          <w:lang w:val="en-US"/>
        </w:rPr>
        <w:t>(</w:t>
      </w:r>
      <w:r w:rsidRPr="00BF16BB">
        <w:rPr>
          <w:color w:val="212121"/>
          <w:shd w:val="clear" w:color="auto" w:fill="FFFFFF"/>
        </w:rPr>
        <w:t>140</w:t>
      </w:r>
      <w:r w:rsidRPr="00BF16BB">
        <w:rPr>
          <w:color w:val="212121"/>
          <w:shd w:val="clear" w:color="auto" w:fill="FFFFFF"/>
          <w:lang w:val="en-US"/>
        </w:rPr>
        <w:t>)</w:t>
      </w:r>
      <w:r w:rsidRPr="00BF16BB">
        <w:rPr>
          <w:color w:val="212121"/>
          <w:shd w:val="clear" w:color="auto" w:fill="FFFFFF"/>
        </w:rPr>
        <w:t xml:space="preserve">:105453. </w:t>
      </w:r>
      <w:r w:rsidRPr="00BF16BB">
        <w:rPr>
          <w:color w:val="FF0000"/>
          <w:shd w:val="clear" w:color="auto" w:fill="FFFFFF"/>
        </w:rPr>
        <w:t>doi: 10.1016/j.archoralbio.2022.105453.</w:t>
      </w:r>
      <w:r w:rsidRPr="00BF16BB">
        <w:rPr>
          <w:color w:val="212121"/>
          <w:shd w:val="clear" w:color="auto" w:fill="FFFFFF"/>
        </w:rPr>
        <w:t xml:space="preserve"> </w:t>
      </w:r>
    </w:p>
    <w:p w14:paraId="4F6F31FB" w14:textId="77777777" w:rsidR="00500C9D" w:rsidRPr="00BF16BB" w:rsidRDefault="00500C9D" w:rsidP="0075311D">
      <w:pPr>
        <w:pStyle w:val="skip-numbering"/>
        <w:numPr>
          <w:ilvl w:val="0"/>
          <w:numId w:val="1"/>
        </w:numPr>
        <w:spacing w:before="0" w:beforeAutospacing="0" w:after="0" w:afterAutospacing="0"/>
        <w:jc w:val="both"/>
        <w:rPr>
          <w:color w:val="212121"/>
        </w:rPr>
      </w:pPr>
      <w:r w:rsidRPr="00BF16BB">
        <w:rPr>
          <w:color w:val="212121"/>
        </w:rPr>
        <w:t>Chen</w:t>
      </w:r>
      <w:r w:rsidRPr="00BF16BB">
        <w:rPr>
          <w:color w:val="212121"/>
          <w:lang w:val="en-US"/>
        </w:rPr>
        <w:t>,</w:t>
      </w:r>
      <w:r w:rsidRPr="00BF16BB">
        <w:rPr>
          <w:color w:val="212121"/>
        </w:rPr>
        <w:t xml:space="preserve"> Y, Yang</w:t>
      </w:r>
      <w:r w:rsidRPr="00BF16BB">
        <w:rPr>
          <w:color w:val="212121"/>
          <w:lang w:val="en-US"/>
        </w:rPr>
        <w:t>,</w:t>
      </w:r>
      <w:r w:rsidRPr="00BF16BB">
        <w:rPr>
          <w:color w:val="212121"/>
        </w:rPr>
        <w:t xml:space="preserve"> YC, Zhu</w:t>
      </w:r>
      <w:r w:rsidRPr="00BF16BB">
        <w:rPr>
          <w:color w:val="212121"/>
          <w:lang w:val="en-US"/>
        </w:rPr>
        <w:t>,</w:t>
      </w:r>
      <w:r w:rsidRPr="00BF16BB">
        <w:rPr>
          <w:color w:val="212121"/>
        </w:rPr>
        <w:t xml:space="preserve"> BL, Wu</w:t>
      </w:r>
      <w:r w:rsidRPr="00BF16BB">
        <w:rPr>
          <w:color w:val="212121"/>
          <w:lang w:val="en-US"/>
        </w:rPr>
        <w:t>,</w:t>
      </w:r>
      <w:r w:rsidRPr="00BF16BB">
        <w:rPr>
          <w:color w:val="212121"/>
        </w:rPr>
        <w:t xml:space="preserve"> CC, Lin</w:t>
      </w:r>
      <w:r w:rsidRPr="00BF16BB">
        <w:rPr>
          <w:color w:val="212121"/>
          <w:lang w:val="en-US"/>
        </w:rPr>
        <w:t>,</w:t>
      </w:r>
      <w:r w:rsidRPr="00BF16BB">
        <w:rPr>
          <w:color w:val="212121"/>
        </w:rPr>
        <w:t xml:space="preserve"> RF, Zhang</w:t>
      </w:r>
      <w:r w:rsidRPr="00BF16BB">
        <w:rPr>
          <w:color w:val="212121"/>
          <w:lang w:val="en-US"/>
        </w:rPr>
        <w:t>,</w:t>
      </w:r>
      <w:r w:rsidRPr="00BF16BB">
        <w:rPr>
          <w:color w:val="212121"/>
        </w:rPr>
        <w:t xml:space="preserve"> X</w:t>
      </w:r>
      <w:r w:rsidRPr="00BF16BB">
        <w:rPr>
          <w:color w:val="212121"/>
          <w:lang w:val="en-US"/>
        </w:rPr>
        <w:t>.</w:t>
      </w:r>
      <w:r w:rsidRPr="00BF16BB">
        <w:rPr>
          <w:color w:val="212121"/>
        </w:rPr>
        <w:t xml:space="preserve"> 2020</w:t>
      </w:r>
      <w:r w:rsidRPr="00BF16BB">
        <w:rPr>
          <w:color w:val="212121"/>
          <w:lang w:val="en-US"/>
        </w:rPr>
        <w:t>.</w:t>
      </w:r>
      <w:r w:rsidRPr="00BF16BB">
        <w:rPr>
          <w:color w:val="212121"/>
        </w:rPr>
        <w:t xml:space="preserve"> Association between periodontal disease, tooth loss and liver diseases risk. J Cli</w:t>
      </w:r>
      <w:r w:rsidRPr="00BF16BB">
        <w:rPr>
          <w:color w:val="212121"/>
          <w:lang w:val="en-US"/>
        </w:rPr>
        <w:t xml:space="preserve">n </w:t>
      </w:r>
      <w:r w:rsidRPr="00BF16BB">
        <w:rPr>
          <w:color w:val="212121"/>
        </w:rPr>
        <w:t>Periodontol</w:t>
      </w:r>
      <w:r w:rsidRPr="00BF16BB">
        <w:rPr>
          <w:color w:val="212121"/>
          <w:lang w:val="en-US"/>
        </w:rPr>
        <w:t>.</w:t>
      </w:r>
      <w:r w:rsidRPr="00BF16BB">
        <w:rPr>
          <w:color w:val="212121"/>
        </w:rPr>
        <w:t xml:space="preserve"> </w:t>
      </w:r>
      <w:r w:rsidRPr="00BF16BB">
        <w:rPr>
          <w:color w:val="212121"/>
          <w:lang w:val="en-US"/>
        </w:rPr>
        <w:t>(</w:t>
      </w:r>
      <w:r w:rsidRPr="00BF16BB">
        <w:rPr>
          <w:color w:val="212121"/>
        </w:rPr>
        <w:t>47</w:t>
      </w:r>
      <w:r w:rsidRPr="00BF16BB">
        <w:rPr>
          <w:color w:val="212121"/>
          <w:lang w:val="en-US"/>
        </w:rPr>
        <w:t>)</w:t>
      </w:r>
      <w:r w:rsidRPr="00BF16BB">
        <w:rPr>
          <w:color w:val="212121"/>
        </w:rPr>
        <w:t>:1053–1063.</w:t>
      </w:r>
      <w:r w:rsidRPr="00BF16BB">
        <w:rPr>
          <w:rStyle w:val="apple-converted-space"/>
          <w:color w:val="212121"/>
        </w:rPr>
        <w:t> </w:t>
      </w:r>
      <w:r w:rsidRPr="00BF16BB">
        <w:rPr>
          <w:color w:val="FF0000"/>
        </w:rPr>
        <w:fldChar w:fldCharType="begin"/>
      </w:r>
      <w:r w:rsidRPr="00BF16BB">
        <w:rPr>
          <w:color w:val="FF0000"/>
        </w:rPr>
        <w:instrText xml:space="preserve"> HYPERLINK "https://doi.org/10.1111/jcpe.13341" \t "_blank" </w:instrText>
      </w:r>
      <w:r w:rsidRPr="00BF16BB">
        <w:rPr>
          <w:color w:val="FF0000"/>
        </w:rPr>
        <w:fldChar w:fldCharType="separate"/>
      </w:r>
      <w:r w:rsidRPr="00BF16BB">
        <w:rPr>
          <w:rStyle w:val="a9"/>
          <w:color w:val="FF0000"/>
        </w:rPr>
        <w:t>https://doi.org/10.1111/jcpe.13341</w:t>
      </w:r>
      <w:r w:rsidRPr="00BF16BB">
        <w:rPr>
          <w:color w:val="FF0000"/>
        </w:rPr>
        <w:fldChar w:fldCharType="end"/>
      </w:r>
      <w:r w:rsidRPr="00BF16BB">
        <w:rPr>
          <w:rStyle w:val="apple-converted-space"/>
          <w:color w:val="212121"/>
        </w:rPr>
        <w:t> </w:t>
      </w:r>
      <w:r w:rsidRPr="00BF16BB">
        <w:rPr>
          <w:color w:val="212121"/>
        </w:rPr>
        <w:t xml:space="preserve"> </w:t>
      </w:r>
    </w:p>
    <w:p w14:paraId="7F818099" w14:textId="65E4A4EE" w:rsidR="00500C9D" w:rsidRPr="0075311D" w:rsidRDefault="00500C9D" w:rsidP="0075311D">
      <w:pPr>
        <w:pStyle w:val="html-xx"/>
        <w:numPr>
          <w:ilvl w:val="0"/>
          <w:numId w:val="1"/>
        </w:numPr>
        <w:spacing w:before="0" w:beforeAutospacing="0" w:after="0" w:afterAutospacing="0"/>
        <w:jc w:val="both"/>
        <w:rPr>
          <w:color w:val="222222"/>
        </w:rPr>
      </w:pPr>
      <w:r w:rsidRPr="00BF16BB">
        <w:rPr>
          <w:color w:val="1C1D1E"/>
        </w:rPr>
        <w:t>Costalonga M</w:t>
      </w:r>
      <w:r w:rsidRPr="00BF16BB">
        <w:rPr>
          <w:color w:val="1C1D1E"/>
          <w:shd w:val="clear" w:color="auto" w:fill="FFFFFF"/>
        </w:rPr>
        <w:t>, </w:t>
      </w:r>
      <w:r w:rsidRPr="00BF16BB">
        <w:rPr>
          <w:color w:val="1C1D1E"/>
        </w:rPr>
        <w:t>Herzberg MC</w:t>
      </w:r>
      <w:r w:rsidRPr="00BF16BB">
        <w:rPr>
          <w:color w:val="1C1D1E"/>
          <w:shd w:val="clear" w:color="auto" w:fill="FFFFFF"/>
        </w:rPr>
        <w:t>. </w:t>
      </w:r>
      <w:r w:rsidRPr="00BF16BB">
        <w:rPr>
          <w:color w:val="1C1D1E"/>
          <w:shd w:val="clear" w:color="auto" w:fill="FFFFFF"/>
          <w:lang w:val="en-US"/>
        </w:rPr>
        <w:t xml:space="preserve">2014. </w:t>
      </w:r>
      <w:r w:rsidRPr="00BF16BB">
        <w:rPr>
          <w:color w:val="1C1D1E"/>
        </w:rPr>
        <w:t>The oral microbiome and the immunobiology of periodontal disease and caries</w:t>
      </w:r>
      <w:r w:rsidRPr="00BF16BB">
        <w:rPr>
          <w:color w:val="1C1D1E"/>
          <w:shd w:val="clear" w:color="auto" w:fill="FFFFFF"/>
        </w:rPr>
        <w:t>. </w:t>
      </w:r>
      <w:r w:rsidRPr="00BF16BB">
        <w:rPr>
          <w:color w:val="1C1D1E"/>
        </w:rPr>
        <w:t>Immunol Lett</w:t>
      </w:r>
      <w:r w:rsidRPr="00BF16BB">
        <w:rPr>
          <w:color w:val="1C1D1E"/>
          <w:shd w:val="clear" w:color="auto" w:fill="FFFFFF"/>
        </w:rPr>
        <w:t>.  </w:t>
      </w:r>
      <w:r w:rsidRPr="00BF16BB">
        <w:rPr>
          <w:color w:val="1C1D1E"/>
        </w:rPr>
        <w:t>162</w:t>
      </w:r>
      <w:r w:rsidRPr="00BF16BB">
        <w:rPr>
          <w:color w:val="1C1D1E"/>
          <w:shd w:val="clear" w:color="auto" w:fill="FFFFFF"/>
        </w:rPr>
        <w:t>(</w:t>
      </w:r>
      <w:r w:rsidRPr="00BF16BB">
        <w:rPr>
          <w:color w:val="1C1D1E"/>
        </w:rPr>
        <w:t>2</w:t>
      </w:r>
      <w:r w:rsidRPr="00BF16BB">
        <w:rPr>
          <w:color w:val="1C1D1E"/>
          <w:shd w:val="clear" w:color="auto" w:fill="FFFFFF"/>
        </w:rPr>
        <w:t>): </w:t>
      </w:r>
      <w:r w:rsidRPr="00BF16BB">
        <w:rPr>
          <w:color w:val="1C1D1E"/>
        </w:rPr>
        <w:t>22</w:t>
      </w:r>
      <w:r w:rsidRPr="00BF16BB">
        <w:rPr>
          <w:color w:val="1C1D1E"/>
          <w:shd w:val="clear" w:color="auto" w:fill="FFFFFF"/>
        </w:rPr>
        <w:t>- </w:t>
      </w:r>
      <w:r w:rsidRPr="00BF16BB">
        <w:rPr>
          <w:color w:val="1C1D1E"/>
        </w:rPr>
        <w:t>38</w:t>
      </w:r>
      <w:r w:rsidRPr="00BF16BB">
        <w:rPr>
          <w:color w:val="1C1D1E"/>
          <w:shd w:val="clear" w:color="auto" w:fill="FFFFFF"/>
        </w:rPr>
        <w:t>.</w:t>
      </w:r>
    </w:p>
    <w:p w14:paraId="44E1F2C8" w14:textId="77777777" w:rsidR="00500C9D" w:rsidRPr="00BF16BB" w:rsidRDefault="00500C9D" w:rsidP="0075311D">
      <w:pPr>
        <w:pStyle w:val="aa"/>
        <w:numPr>
          <w:ilvl w:val="0"/>
          <w:numId w:val="1"/>
        </w:numPr>
        <w:jc w:val="both"/>
      </w:pPr>
      <w:r w:rsidRPr="00BF16BB">
        <w:t>Fadienko</w:t>
      </w:r>
      <w:r w:rsidRPr="00BF16BB">
        <w:rPr>
          <w:lang w:val="en-US"/>
        </w:rPr>
        <w:t>,</w:t>
      </w:r>
      <w:r w:rsidRPr="00BF16BB">
        <w:t xml:space="preserve"> GD, Nikiforova</w:t>
      </w:r>
      <w:r w:rsidRPr="00BF16BB">
        <w:rPr>
          <w:lang w:val="en-US"/>
        </w:rPr>
        <w:t>,</w:t>
      </w:r>
      <w:r w:rsidRPr="00BF16BB">
        <w:t xml:space="preserve"> YaV.</w:t>
      </w:r>
      <w:r w:rsidRPr="00BF16BB">
        <w:rPr>
          <w:lang w:val="en-US"/>
        </w:rPr>
        <w:t>2016.</w:t>
      </w:r>
      <w:r w:rsidRPr="00BF16BB">
        <w:t xml:space="preserve"> A</w:t>
      </w:r>
      <w:proofErr w:type="spellStart"/>
      <w:r w:rsidRPr="00BF16BB">
        <w:rPr>
          <w:lang w:val="en-US"/>
        </w:rPr>
        <w:t>lgorithm</w:t>
      </w:r>
      <w:proofErr w:type="spellEnd"/>
      <w:r w:rsidRPr="00BF16BB">
        <w:rPr>
          <w:lang w:val="en-US"/>
        </w:rPr>
        <w:t xml:space="preserve"> of diagnosis eating disorders and nutritional status in patients with nonalcoholic fatty liver disease, obesity and hypertension. </w:t>
      </w:r>
      <w:r w:rsidRPr="00BF16BB">
        <w:t xml:space="preserve">World science. 10 (14). </w:t>
      </w:r>
      <w:r w:rsidRPr="00BF16BB">
        <w:rPr>
          <w:color w:val="FF0000"/>
        </w:rPr>
        <w:t xml:space="preserve">URL: https://cyberleninka.ru/article/n/algorithm-of-diagnosis-eating-disorders-and-nutritional-status-in-patients-with-nonalcoholic-fatty-liver-disease-obesity-and </w:t>
      </w:r>
    </w:p>
    <w:p w14:paraId="6447FBD5" w14:textId="77777777" w:rsidR="00500C9D" w:rsidRPr="00BF16BB" w:rsidRDefault="00500C9D" w:rsidP="0075311D">
      <w:pPr>
        <w:pStyle w:val="aa"/>
        <w:numPr>
          <w:ilvl w:val="0"/>
          <w:numId w:val="1"/>
        </w:numPr>
        <w:jc w:val="both"/>
      </w:pPr>
      <w:r w:rsidRPr="00BF16BB">
        <w:rPr>
          <w:color w:val="212121"/>
          <w:shd w:val="clear" w:color="auto" w:fill="FFFFFF"/>
        </w:rPr>
        <w:t>Glowczyk</w:t>
      </w:r>
      <w:r w:rsidRPr="00BF16BB">
        <w:rPr>
          <w:color w:val="212121"/>
          <w:shd w:val="clear" w:color="auto" w:fill="FFFFFF"/>
          <w:lang w:val="en-US"/>
        </w:rPr>
        <w:t>,</w:t>
      </w:r>
      <w:r w:rsidRPr="00BF16BB">
        <w:rPr>
          <w:color w:val="212121"/>
          <w:shd w:val="clear" w:color="auto" w:fill="FFFFFF"/>
        </w:rPr>
        <w:t xml:space="preserve"> I, Wong</w:t>
      </w:r>
      <w:r w:rsidRPr="00BF16BB">
        <w:rPr>
          <w:color w:val="212121"/>
          <w:shd w:val="clear" w:color="auto" w:fill="FFFFFF"/>
          <w:lang w:val="en-US"/>
        </w:rPr>
        <w:t>,</w:t>
      </w:r>
      <w:r w:rsidRPr="00BF16BB">
        <w:rPr>
          <w:color w:val="212121"/>
          <w:shd w:val="clear" w:color="auto" w:fill="FFFFFF"/>
        </w:rPr>
        <w:t xml:space="preserve"> A, Potempa</w:t>
      </w:r>
      <w:r w:rsidRPr="00BF16BB">
        <w:rPr>
          <w:color w:val="212121"/>
          <w:shd w:val="clear" w:color="auto" w:fill="FFFFFF"/>
          <w:lang w:val="en-US"/>
        </w:rPr>
        <w:t>,</w:t>
      </w:r>
      <w:r w:rsidRPr="00BF16BB">
        <w:rPr>
          <w:color w:val="212121"/>
          <w:shd w:val="clear" w:color="auto" w:fill="FFFFFF"/>
        </w:rPr>
        <w:t xml:space="preserve"> B, Babyak</w:t>
      </w:r>
      <w:r w:rsidRPr="00BF16BB">
        <w:rPr>
          <w:color w:val="212121"/>
          <w:shd w:val="clear" w:color="auto" w:fill="FFFFFF"/>
          <w:lang w:val="en-US"/>
        </w:rPr>
        <w:t>,</w:t>
      </w:r>
      <w:r w:rsidRPr="00BF16BB">
        <w:rPr>
          <w:color w:val="212121"/>
          <w:shd w:val="clear" w:color="auto" w:fill="FFFFFF"/>
        </w:rPr>
        <w:t xml:space="preserve"> O, Lech</w:t>
      </w:r>
      <w:r w:rsidRPr="00BF16BB">
        <w:rPr>
          <w:color w:val="212121"/>
          <w:shd w:val="clear" w:color="auto" w:fill="FFFFFF"/>
          <w:lang w:val="en-US"/>
        </w:rPr>
        <w:t>,</w:t>
      </w:r>
      <w:r w:rsidRPr="00BF16BB">
        <w:rPr>
          <w:color w:val="212121"/>
          <w:shd w:val="clear" w:color="auto" w:fill="FFFFFF"/>
        </w:rPr>
        <w:t xml:space="preserve"> M, Lamont</w:t>
      </w:r>
      <w:r w:rsidRPr="00BF16BB">
        <w:rPr>
          <w:color w:val="212121"/>
          <w:shd w:val="clear" w:color="auto" w:fill="FFFFFF"/>
          <w:lang w:val="en-US"/>
        </w:rPr>
        <w:t>,</w:t>
      </w:r>
      <w:r w:rsidRPr="00BF16BB">
        <w:rPr>
          <w:color w:val="212121"/>
          <w:shd w:val="clear" w:color="auto" w:fill="FFFFFF"/>
        </w:rPr>
        <w:t xml:space="preserve"> RJ,</w:t>
      </w:r>
      <w:r w:rsidRPr="00BF16BB">
        <w:rPr>
          <w:color w:val="212121"/>
          <w:shd w:val="clear" w:color="auto" w:fill="FFFFFF"/>
          <w:lang w:val="en-US"/>
        </w:rPr>
        <w:t xml:space="preserve"> et al. 2017. </w:t>
      </w:r>
      <w:r w:rsidRPr="00BF16BB">
        <w:rPr>
          <w:color w:val="212121"/>
          <w:shd w:val="clear" w:color="auto" w:fill="FFFFFF"/>
        </w:rPr>
        <w:t xml:space="preserve"> Inactive Gingipains from </w:t>
      </w:r>
      <w:r w:rsidRPr="00BF16BB">
        <w:rPr>
          <w:color w:val="212121"/>
        </w:rPr>
        <w:t>P. gingivalis</w:t>
      </w:r>
      <w:r w:rsidRPr="00BF16BB">
        <w:rPr>
          <w:color w:val="212121"/>
          <w:shd w:val="clear" w:color="auto" w:fill="FFFFFF"/>
        </w:rPr>
        <w:t xml:space="preserve">Selectively Skews T Cells toward a Th17 Phenotype in an IL-6 Dependent Manner. Front Cell Infect Microbiol. </w:t>
      </w:r>
      <w:r w:rsidRPr="00BF16BB">
        <w:rPr>
          <w:color w:val="212121"/>
          <w:shd w:val="clear" w:color="auto" w:fill="FFFFFF"/>
          <w:lang w:val="en-US"/>
        </w:rPr>
        <w:t>(</w:t>
      </w:r>
      <w:r w:rsidRPr="00BF16BB">
        <w:rPr>
          <w:color w:val="212121"/>
          <w:shd w:val="clear" w:color="auto" w:fill="FFFFFF"/>
        </w:rPr>
        <w:t>7</w:t>
      </w:r>
      <w:r w:rsidRPr="00BF16BB">
        <w:rPr>
          <w:color w:val="212121"/>
          <w:shd w:val="clear" w:color="auto" w:fill="FFFFFF"/>
          <w:lang w:val="en-US"/>
        </w:rPr>
        <w:t>)</w:t>
      </w:r>
      <w:r w:rsidRPr="00BF16BB">
        <w:rPr>
          <w:color w:val="212121"/>
          <w:shd w:val="clear" w:color="auto" w:fill="FFFFFF"/>
        </w:rPr>
        <w:t xml:space="preserve">:140. </w:t>
      </w:r>
      <w:r w:rsidRPr="00BF16BB">
        <w:rPr>
          <w:color w:val="FF0000"/>
          <w:shd w:val="clear" w:color="auto" w:fill="FFFFFF"/>
        </w:rPr>
        <w:t xml:space="preserve">doi: 10.3389/fcimb.2017.00140. </w:t>
      </w:r>
    </w:p>
    <w:p w14:paraId="23DB750F" w14:textId="77777777" w:rsidR="00500C9D" w:rsidRPr="00BF16BB" w:rsidRDefault="00500C9D" w:rsidP="0075311D">
      <w:pPr>
        <w:pStyle w:val="aa"/>
        <w:numPr>
          <w:ilvl w:val="0"/>
          <w:numId w:val="1"/>
        </w:numPr>
        <w:jc w:val="both"/>
        <w:rPr>
          <w:color w:val="333333"/>
        </w:rPr>
      </w:pPr>
      <w:r w:rsidRPr="00BF16BB">
        <w:rPr>
          <w:color w:val="212121"/>
          <w:shd w:val="clear" w:color="auto" w:fill="FFFFFF"/>
        </w:rPr>
        <w:t>Imamura</w:t>
      </w:r>
      <w:r w:rsidRPr="00BF16BB">
        <w:rPr>
          <w:color w:val="212121"/>
          <w:shd w:val="clear" w:color="auto" w:fill="FFFFFF"/>
          <w:lang w:val="en-US"/>
        </w:rPr>
        <w:t>,</w:t>
      </w:r>
      <w:r w:rsidRPr="00BF16BB">
        <w:rPr>
          <w:color w:val="212121"/>
          <w:shd w:val="clear" w:color="auto" w:fill="FFFFFF"/>
        </w:rPr>
        <w:t xml:space="preserve"> T. </w:t>
      </w:r>
      <w:r w:rsidRPr="00BF16BB">
        <w:rPr>
          <w:color w:val="212121"/>
          <w:shd w:val="clear" w:color="auto" w:fill="FFFFFF"/>
          <w:lang w:val="en-US"/>
        </w:rPr>
        <w:t xml:space="preserve">2003. </w:t>
      </w:r>
      <w:r w:rsidRPr="00BF16BB">
        <w:rPr>
          <w:color w:val="212121"/>
          <w:shd w:val="clear" w:color="auto" w:fill="FFFFFF"/>
        </w:rPr>
        <w:t xml:space="preserve">The role of gingipains in the pathogenesis of periodontal disease. J Periodontol. 74(1):111-8. </w:t>
      </w:r>
      <w:r w:rsidRPr="00BF16BB">
        <w:rPr>
          <w:color w:val="FF0000"/>
          <w:shd w:val="clear" w:color="auto" w:fill="FFFFFF"/>
        </w:rPr>
        <w:t xml:space="preserve">doi: 10.1902/jop.2003.74.1.111. </w:t>
      </w:r>
    </w:p>
    <w:p w14:paraId="2670621F" w14:textId="731B684B" w:rsidR="00500C9D" w:rsidRDefault="00500C9D" w:rsidP="0075311D">
      <w:pPr>
        <w:jc w:val="both"/>
        <w:rPr>
          <w:rFonts w:ascii="Times New Roman" w:hAnsi="Times New Roman" w:cs="Times New Roman"/>
          <w:b/>
          <w:bCs/>
          <w:lang w:val="en-GB"/>
        </w:rPr>
      </w:pPr>
    </w:p>
    <w:p w14:paraId="49188B0D" w14:textId="77777777" w:rsidR="004D2880" w:rsidRPr="004D2880" w:rsidRDefault="004D2880" w:rsidP="004D2880">
      <w:pPr>
        <w:shd w:val="clear" w:color="auto" w:fill="FFFFFF"/>
        <w:spacing w:before="100" w:beforeAutospacing="1" w:after="100" w:afterAutospacing="1"/>
        <w:rPr>
          <w:rFonts w:ascii="Times New Roman" w:eastAsia="Times New Roman" w:hAnsi="Times New Roman" w:cs="Times New Roman"/>
          <w:b/>
          <w:bCs/>
          <w:lang w:val="ru-UA" w:eastAsia="ru-RU"/>
        </w:rPr>
      </w:pPr>
      <w:r w:rsidRPr="004D2880">
        <w:rPr>
          <w:rFonts w:ascii="Times New Roman" w:eastAsia="Times New Roman" w:hAnsi="Times New Roman" w:cs="Times New Roman"/>
          <w:b/>
          <w:bCs/>
          <w:lang w:val="ru-UA" w:eastAsia="ru-RU"/>
        </w:rPr>
        <w:t xml:space="preserve">Biography </w:t>
      </w:r>
    </w:p>
    <w:p w14:paraId="7D7CE8B6" w14:textId="5270F691" w:rsidR="004D2880" w:rsidRPr="004D2880" w:rsidRDefault="004D2880" w:rsidP="0075311D">
      <w:pPr>
        <w:jc w:val="both"/>
        <w:rPr>
          <w:rFonts w:ascii="Times New Roman" w:hAnsi="Times New Roman" w:cs="Times New Roman"/>
          <w:lang w:val="en-GB"/>
        </w:rPr>
      </w:pPr>
      <w:r w:rsidRPr="004D2880">
        <w:rPr>
          <w:rFonts w:ascii="Times New Roman" w:hAnsi="Times New Roman" w:cs="Times New Roman"/>
          <w:lang w:val="en-GB"/>
        </w:rPr>
        <w:t xml:space="preserve">Emelyanova Natalia is a professor of medicine and together with Dmitry </w:t>
      </w:r>
      <w:proofErr w:type="spellStart"/>
      <w:r w:rsidRPr="004D2880">
        <w:rPr>
          <w:rFonts w:ascii="Times New Roman" w:hAnsi="Times New Roman" w:cs="Times New Roman"/>
          <w:lang w:val="en-GB"/>
        </w:rPr>
        <w:t>Emelyanov</w:t>
      </w:r>
      <w:proofErr w:type="spellEnd"/>
      <w:r w:rsidRPr="004D2880">
        <w:rPr>
          <w:rFonts w:ascii="Times New Roman" w:hAnsi="Times New Roman" w:cs="Times New Roman"/>
          <w:lang w:val="en-GB"/>
        </w:rPr>
        <w:t xml:space="preserve"> (</w:t>
      </w:r>
      <w:proofErr w:type="spellStart"/>
      <w:r w:rsidRPr="004D2880">
        <w:rPr>
          <w:rFonts w:ascii="Times New Roman" w:hAnsi="Times New Roman" w:cs="Times New Roman"/>
          <w:lang w:val="en-GB"/>
        </w:rPr>
        <w:t>Phd</w:t>
      </w:r>
      <w:proofErr w:type="spellEnd"/>
      <w:r w:rsidRPr="004D2880">
        <w:rPr>
          <w:rFonts w:ascii="Times New Roman" w:hAnsi="Times New Roman" w:cs="Times New Roman"/>
          <w:lang w:val="en-GB"/>
        </w:rPr>
        <w:t>) work as researchers at a research institute and deal with the problems of manifestations of somatic diseases in the oral cavity. Their research has been featured in many well-known journals and conferences.</w:t>
      </w:r>
    </w:p>
    <w:sectPr w:rsidR="004D2880" w:rsidRPr="004D2880" w:rsidSect="00861E72">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65C50"/>
    <w:multiLevelType w:val="hybridMultilevel"/>
    <w:tmpl w:val="E004A0FA"/>
    <w:lvl w:ilvl="0" w:tplc="1020130A">
      <w:start w:val="1"/>
      <w:numFmt w:val="decimal"/>
      <w:lvlText w:val="%1."/>
      <w:lvlJc w:val="left"/>
      <w:pPr>
        <w:ind w:left="644" w:hanging="360"/>
      </w:pPr>
      <w:rPr>
        <w:rFonts w:hint="default"/>
        <w:b w:val="0"/>
        <w:bCs w:val="0"/>
        <w:color w:val="auto"/>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29422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ED9"/>
    <w:rsid w:val="00037D56"/>
    <w:rsid w:val="00061ADA"/>
    <w:rsid w:val="000954D7"/>
    <w:rsid w:val="000A0C20"/>
    <w:rsid w:val="000C74C8"/>
    <w:rsid w:val="001269C4"/>
    <w:rsid w:val="00133CAE"/>
    <w:rsid w:val="001370DD"/>
    <w:rsid w:val="00145D60"/>
    <w:rsid w:val="00146F24"/>
    <w:rsid w:val="00150BA1"/>
    <w:rsid w:val="0016276C"/>
    <w:rsid w:val="0016363B"/>
    <w:rsid w:val="00163C5C"/>
    <w:rsid w:val="00164A9E"/>
    <w:rsid w:val="00170F9B"/>
    <w:rsid w:val="00174BB3"/>
    <w:rsid w:val="00176716"/>
    <w:rsid w:val="00180BFE"/>
    <w:rsid w:val="00192ABA"/>
    <w:rsid w:val="00192C40"/>
    <w:rsid w:val="0019402D"/>
    <w:rsid w:val="001A61AE"/>
    <w:rsid w:val="001D51DD"/>
    <w:rsid w:val="001F0F32"/>
    <w:rsid w:val="001F3A58"/>
    <w:rsid w:val="0020628D"/>
    <w:rsid w:val="00210C0C"/>
    <w:rsid w:val="00221564"/>
    <w:rsid w:val="00256A2D"/>
    <w:rsid w:val="00261A00"/>
    <w:rsid w:val="00282EEA"/>
    <w:rsid w:val="002B19E3"/>
    <w:rsid w:val="002C20B7"/>
    <w:rsid w:val="002C320E"/>
    <w:rsid w:val="002C7A03"/>
    <w:rsid w:val="002D4A5E"/>
    <w:rsid w:val="00324853"/>
    <w:rsid w:val="00330AB1"/>
    <w:rsid w:val="00335D99"/>
    <w:rsid w:val="0034043E"/>
    <w:rsid w:val="003575CD"/>
    <w:rsid w:val="0036483D"/>
    <w:rsid w:val="0038432A"/>
    <w:rsid w:val="003B4F20"/>
    <w:rsid w:val="003E1182"/>
    <w:rsid w:val="003E16E0"/>
    <w:rsid w:val="00405EF6"/>
    <w:rsid w:val="00415BAE"/>
    <w:rsid w:val="004171D1"/>
    <w:rsid w:val="0042058E"/>
    <w:rsid w:val="00421445"/>
    <w:rsid w:val="004412A1"/>
    <w:rsid w:val="00475F3E"/>
    <w:rsid w:val="00480286"/>
    <w:rsid w:val="00480CC5"/>
    <w:rsid w:val="00485484"/>
    <w:rsid w:val="004C1BE3"/>
    <w:rsid w:val="004D2880"/>
    <w:rsid w:val="00500C9D"/>
    <w:rsid w:val="00504C81"/>
    <w:rsid w:val="005052AF"/>
    <w:rsid w:val="005067C1"/>
    <w:rsid w:val="005309DD"/>
    <w:rsid w:val="005506FE"/>
    <w:rsid w:val="00592499"/>
    <w:rsid w:val="005A6227"/>
    <w:rsid w:val="005B58F5"/>
    <w:rsid w:val="005D0B1C"/>
    <w:rsid w:val="006019CD"/>
    <w:rsid w:val="006111E0"/>
    <w:rsid w:val="006366F9"/>
    <w:rsid w:val="0064297E"/>
    <w:rsid w:val="00643C8A"/>
    <w:rsid w:val="0065406D"/>
    <w:rsid w:val="0066455E"/>
    <w:rsid w:val="0067565D"/>
    <w:rsid w:val="006770AB"/>
    <w:rsid w:val="00680E34"/>
    <w:rsid w:val="006D1DE4"/>
    <w:rsid w:val="006E47D4"/>
    <w:rsid w:val="006F4081"/>
    <w:rsid w:val="006F4CF9"/>
    <w:rsid w:val="006F5BB0"/>
    <w:rsid w:val="00712DCF"/>
    <w:rsid w:val="00730541"/>
    <w:rsid w:val="00730DA0"/>
    <w:rsid w:val="0075311D"/>
    <w:rsid w:val="00790804"/>
    <w:rsid w:val="00797B10"/>
    <w:rsid w:val="007C0448"/>
    <w:rsid w:val="007C5258"/>
    <w:rsid w:val="007D0DE3"/>
    <w:rsid w:val="007D5CCE"/>
    <w:rsid w:val="007D727E"/>
    <w:rsid w:val="007F321F"/>
    <w:rsid w:val="007F470E"/>
    <w:rsid w:val="007F7419"/>
    <w:rsid w:val="008235D5"/>
    <w:rsid w:val="0083089D"/>
    <w:rsid w:val="008309EB"/>
    <w:rsid w:val="0083258B"/>
    <w:rsid w:val="00833FC5"/>
    <w:rsid w:val="00836ED0"/>
    <w:rsid w:val="00846CB4"/>
    <w:rsid w:val="00861E72"/>
    <w:rsid w:val="00862F12"/>
    <w:rsid w:val="00874A29"/>
    <w:rsid w:val="00886400"/>
    <w:rsid w:val="0088685D"/>
    <w:rsid w:val="00886EA2"/>
    <w:rsid w:val="008A2E42"/>
    <w:rsid w:val="008A50AA"/>
    <w:rsid w:val="008A6B7D"/>
    <w:rsid w:val="008E6351"/>
    <w:rsid w:val="008F0321"/>
    <w:rsid w:val="008F29F8"/>
    <w:rsid w:val="00942837"/>
    <w:rsid w:val="00950EBD"/>
    <w:rsid w:val="009553B0"/>
    <w:rsid w:val="00977BF5"/>
    <w:rsid w:val="009B3468"/>
    <w:rsid w:val="009D430B"/>
    <w:rsid w:val="009D6DDC"/>
    <w:rsid w:val="009E04C7"/>
    <w:rsid w:val="009F0F76"/>
    <w:rsid w:val="009F5FA4"/>
    <w:rsid w:val="00A03A46"/>
    <w:rsid w:val="00A45367"/>
    <w:rsid w:val="00A633AC"/>
    <w:rsid w:val="00A85E6B"/>
    <w:rsid w:val="00AC5457"/>
    <w:rsid w:val="00B17732"/>
    <w:rsid w:val="00B22394"/>
    <w:rsid w:val="00B546B4"/>
    <w:rsid w:val="00B8571D"/>
    <w:rsid w:val="00B92A83"/>
    <w:rsid w:val="00BC6805"/>
    <w:rsid w:val="00BE63F0"/>
    <w:rsid w:val="00BF16BB"/>
    <w:rsid w:val="00BF76CA"/>
    <w:rsid w:val="00C226C0"/>
    <w:rsid w:val="00C32E6F"/>
    <w:rsid w:val="00C43090"/>
    <w:rsid w:val="00C44FE5"/>
    <w:rsid w:val="00C50549"/>
    <w:rsid w:val="00C546AA"/>
    <w:rsid w:val="00C5792D"/>
    <w:rsid w:val="00CB0079"/>
    <w:rsid w:val="00CB3B9C"/>
    <w:rsid w:val="00CC31D0"/>
    <w:rsid w:val="00CC5E33"/>
    <w:rsid w:val="00CD0C42"/>
    <w:rsid w:val="00CD1158"/>
    <w:rsid w:val="00CE096C"/>
    <w:rsid w:val="00CE1914"/>
    <w:rsid w:val="00CE3D13"/>
    <w:rsid w:val="00D062DB"/>
    <w:rsid w:val="00D32CE2"/>
    <w:rsid w:val="00D3614F"/>
    <w:rsid w:val="00D37CDB"/>
    <w:rsid w:val="00D56223"/>
    <w:rsid w:val="00D851B8"/>
    <w:rsid w:val="00D86783"/>
    <w:rsid w:val="00DA12DF"/>
    <w:rsid w:val="00DA1D5B"/>
    <w:rsid w:val="00DD54B4"/>
    <w:rsid w:val="00DD7A77"/>
    <w:rsid w:val="00E00994"/>
    <w:rsid w:val="00E03C14"/>
    <w:rsid w:val="00E04ED9"/>
    <w:rsid w:val="00E16CB7"/>
    <w:rsid w:val="00E258A3"/>
    <w:rsid w:val="00E342DD"/>
    <w:rsid w:val="00E37069"/>
    <w:rsid w:val="00E44DE7"/>
    <w:rsid w:val="00E70B4E"/>
    <w:rsid w:val="00EA3F27"/>
    <w:rsid w:val="00EA617A"/>
    <w:rsid w:val="00EB32D6"/>
    <w:rsid w:val="00EB6BA0"/>
    <w:rsid w:val="00EC1CD6"/>
    <w:rsid w:val="00ED0408"/>
    <w:rsid w:val="00ED1F8A"/>
    <w:rsid w:val="00ED3758"/>
    <w:rsid w:val="00EE38AE"/>
    <w:rsid w:val="00EF31DF"/>
    <w:rsid w:val="00F43C33"/>
    <w:rsid w:val="00F45F7F"/>
    <w:rsid w:val="00F4729E"/>
    <w:rsid w:val="00F5705B"/>
    <w:rsid w:val="00F67ED9"/>
    <w:rsid w:val="00F718EE"/>
    <w:rsid w:val="00F761AA"/>
    <w:rsid w:val="00F77F2B"/>
    <w:rsid w:val="00F935FF"/>
    <w:rsid w:val="00F95016"/>
    <w:rsid w:val="00F97B88"/>
    <w:rsid w:val="00FB206F"/>
    <w:rsid w:val="00FD2EE6"/>
    <w:rsid w:val="00FE06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4B944"/>
  <w15:docId w15:val="{C5D4BA40-D0E6-3F40-9C8D-15AA2A653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CC5E3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CC5E33"/>
    <w:pPr>
      <w:spacing w:before="100" w:beforeAutospacing="1" w:after="100" w:afterAutospacing="1"/>
      <w:outlineLvl w:val="2"/>
    </w:pPr>
    <w:rPr>
      <w:rFonts w:ascii="Times New Roman" w:eastAsia="Times New Roman" w:hAnsi="Times New Roman" w:cs="Times New Roman"/>
      <w:b/>
      <w:bCs/>
      <w:sz w:val="27"/>
      <w:szCs w:val="27"/>
      <w:lang w:val="ru-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D7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16276C"/>
    <w:pPr>
      <w:widowControl w:val="0"/>
    </w:pPr>
    <w:rPr>
      <w:rFonts w:ascii="Courier New" w:eastAsia="Times New Roman" w:hAnsi="Courier New" w:cs="Times New Roman"/>
      <w:sz w:val="20"/>
      <w:szCs w:val="20"/>
      <w:lang w:eastAsia="ja-JP"/>
    </w:rPr>
  </w:style>
  <w:style w:type="paragraph" w:customStyle="1" w:styleId="a4">
    <w:name w:val="Обычный диссер Знак"/>
    <w:basedOn w:val="a"/>
    <w:link w:val="a5"/>
    <w:rsid w:val="001269C4"/>
    <w:pPr>
      <w:spacing w:line="360" w:lineRule="auto"/>
      <w:ind w:firstLine="709"/>
      <w:jc w:val="both"/>
    </w:pPr>
    <w:rPr>
      <w:rFonts w:ascii="Calibri" w:eastAsia="Calibri" w:hAnsi="Calibri" w:cs="Times New Roman"/>
      <w:sz w:val="28"/>
      <w:szCs w:val="28"/>
      <w:lang w:val="uk-UA" w:eastAsia="ru-RU"/>
    </w:rPr>
  </w:style>
  <w:style w:type="character" w:customStyle="1" w:styleId="a5">
    <w:name w:val="Обычный диссер Знак Знак"/>
    <w:link w:val="a4"/>
    <w:rsid w:val="001269C4"/>
    <w:rPr>
      <w:rFonts w:ascii="Calibri" w:eastAsia="Calibri" w:hAnsi="Calibri" w:cs="Times New Roman"/>
      <w:sz w:val="28"/>
      <w:szCs w:val="28"/>
      <w:lang w:val="uk-UA" w:eastAsia="ru-RU"/>
    </w:rPr>
  </w:style>
  <w:style w:type="paragraph" w:styleId="a6">
    <w:name w:val="Normal (Web)"/>
    <w:basedOn w:val="a"/>
    <w:uiPriority w:val="99"/>
    <w:unhideWhenUsed/>
    <w:rsid w:val="00EA617A"/>
    <w:pPr>
      <w:spacing w:before="100" w:beforeAutospacing="1" w:after="100" w:afterAutospacing="1"/>
    </w:pPr>
    <w:rPr>
      <w:rFonts w:ascii="Times New Roman" w:eastAsia="Times New Roman" w:hAnsi="Times New Roman" w:cs="Times New Roman"/>
      <w:lang w:eastAsia="ru-RU"/>
    </w:rPr>
  </w:style>
  <w:style w:type="paragraph" w:styleId="a7">
    <w:name w:val="Balloon Text"/>
    <w:basedOn w:val="a"/>
    <w:link w:val="a8"/>
    <w:uiPriority w:val="99"/>
    <w:semiHidden/>
    <w:unhideWhenUsed/>
    <w:rsid w:val="005A6227"/>
    <w:rPr>
      <w:rFonts w:ascii="Tahoma" w:hAnsi="Tahoma" w:cs="Tahoma"/>
      <w:sz w:val="16"/>
      <w:szCs w:val="16"/>
    </w:rPr>
  </w:style>
  <w:style w:type="character" w:customStyle="1" w:styleId="a8">
    <w:name w:val="Текст выноски Знак"/>
    <w:basedOn w:val="a0"/>
    <w:link w:val="a7"/>
    <w:uiPriority w:val="99"/>
    <w:semiHidden/>
    <w:rsid w:val="005A6227"/>
    <w:rPr>
      <w:rFonts w:ascii="Tahoma" w:hAnsi="Tahoma" w:cs="Tahoma"/>
      <w:sz w:val="16"/>
      <w:szCs w:val="16"/>
    </w:rPr>
  </w:style>
  <w:style w:type="character" w:customStyle="1" w:styleId="fn-label">
    <w:name w:val="fn-label"/>
    <w:basedOn w:val="a0"/>
    <w:rsid w:val="00CC5E33"/>
  </w:style>
  <w:style w:type="character" w:customStyle="1" w:styleId="30">
    <w:name w:val="Заголовок 3 Знак"/>
    <w:basedOn w:val="a0"/>
    <w:link w:val="3"/>
    <w:uiPriority w:val="9"/>
    <w:rsid w:val="00CC5E33"/>
    <w:rPr>
      <w:rFonts w:ascii="Times New Roman" w:eastAsia="Times New Roman" w:hAnsi="Times New Roman" w:cs="Times New Roman"/>
      <w:b/>
      <w:bCs/>
      <w:sz w:val="27"/>
      <w:szCs w:val="27"/>
      <w:lang w:val="ru-UA" w:eastAsia="ru-RU"/>
    </w:rPr>
  </w:style>
  <w:style w:type="character" w:styleId="a9">
    <w:name w:val="Hyperlink"/>
    <w:basedOn w:val="a0"/>
    <w:uiPriority w:val="99"/>
    <w:semiHidden/>
    <w:unhideWhenUsed/>
    <w:rsid w:val="00CC5E33"/>
    <w:rPr>
      <w:color w:val="0000FF"/>
      <w:u w:val="single"/>
    </w:rPr>
  </w:style>
  <w:style w:type="character" w:customStyle="1" w:styleId="hlfld-title">
    <w:name w:val="hlfld-title"/>
    <w:basedOn w:val="a0"/>
    <w:rsid w:val="00CC5E33"/>
  </w:style>
  <w:style w:type="character" w:customStyle="1" w:styleId="20">
    <w:name w:val="Заголовок 2 Знак"/>
    <w:basedOn w:val="a0"/>
    <w:link w:val="2"/>
    <w:uiPriority w:val="9"/>
    <w:rsid w:val="00CC5E33"/>
    <w:rPr>
      <w:rFonts w:asciiTheme="majorHAnsi" w:eastAsiaTheme="majorEastAsia" w:hAnsiTheme="majorHAnsi" w:cstheme="majorBidi"/>
      <w:color w:val="2F5496" w:themeColor="accent1" w:themeShade="BF"/>
      <w:sz w:val="26"/>
      <w:szCs w:val="26"/>
    </w:rPr>
  </w:style>
  <w:style w:type="character" w:customStyle="1" w:styleId="apple-converted-space">
    <w:name w:val="apple-converted-space"/>
    <w:basedOn w:val="a0"/>
    <w:rsid w:val="00CC5E33"/>
  </w:style>
  <w:style w:type="paragraph" w:styleId="aa">
    <w:name w:val="List Paragraph"/>
    <w:basedOn w:val="a"/>
    <w:uiPriority w:val="34"/>
    <w:qFormat/>
    <w:rsid w:val="00500C9D"/>
    <w:pPr>
      <w:ind w:left="720"/>
      <w:contextualSpacing/>
    </w:pPr>
    <w:rPr>
      <w:rFonts w:ascii="Times New Roman" w:eastAsia="Times New Roman" w:hAnsi="Times New Roman" w:cs="Times New Roman"/>
      <w:lang w:val="ru-UA" w:eastAsia="ru-RU"/>
    </w:rPr>
  </w:style>
  <w:style w:type="paragraph" w:customStyle="1" w:styleId="html-x">
    <w:name w:val="html-x"/>
    <w:basedOn w:val="a"/>
    <w:rsid w:val="00500C9D"/>
    <w:pPr>
      <w:spacing w:before="100" w:beforeAutospacing="1" w:after="100" w:afterAutospacing="1"/>
    </w:pPr>
    <w:rPr>
      <w:rFonts w:ascii="Times New Roman" w:eastAsia="Times New Roman" w:hAnsi="Times New Roman" w:cs="Times New Roman"/>
      <w:lang w:val="ru-UA" w:eastAsia="ru-RU"/>
    </w:rPr>
  </w:style>
  <w:style w:type="character" w:customStyle="1" w:styleId="html-italic">
    <w:name w:val="html-italic"/>
    <w:basedOn w:val="a0"/>
    <w:rsid w:val="00500C9D"/>
  </w:style>
  <w:style w:type="paragraph" w:customStyle="1" w:styleId="html-xx">
    <w:name w:val="html-xx"/>
    <w:basedOn w:val="a"/>
    <w:rsid w:val="00500C9D"/>
    <w:pPr>
      <w:spacing w:before="100" w:beforeAutospacing="1" w:after="100" w:afterAutospacing="1"/>
    </w:pPr>
    <w:rPr>
      <w:rFonts w:ascii="Times New Roman" w:eastAsia="Times New Roman" w:hAnsi="Times New Roman" w:cs="Times New Roman"/>
      <w:lang w:val="ru-UA" w:eastAsia="ru-RU"/>
    </w:rPr>
  </w:style>
  <w:style w:type="paragraph" w:customStyle="1" w:styleId="skip-numbering">
    <w:name w:val="skip-numbering"/>
    <w:basedOn w:val="a"/>
    <w:rsid w:val="00500C9D"/>
    <w:pPr>
      <w:spacing w:before="100" w:beforeAutospacing="1" w:after="100" w:afterAutospacing="1"/>
    </w:pPr>
    <w:rPr>
      <w:rFonts w:ascii="Times New Roman" w:eastAsia="Times New Roman" w:hAnsi="Times New Roman" w:cs="Times New Roman"/>
      <w:lang w:val="ru-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0">
      <w:bodyDiv w:val="1"/>
      <w:marLeft w:val="0"/>
      <w:marRight w:val="0"/>
      <w:marTop w:val="0"/>
      <w:marBottom w:val="0"/>
      <w:divBdr>
        <w:top w:val="none" w:sz="0" w:space="0" w:color="auto"/>
        <w:left w:val="none" w:sz="0" w:space="0" w:color="auto"/>
        <w:bottom w:val="none" w:sz="0" w:space="0" w:color="auto"/>
        <w:right w:val="none" w:sz="0" w:space="0" w:color="auto"/>
      </w:divBdr>
    </w:div>
    <w:div w:id="326902340">
      <w:bodyDiv w:val="1"/>
      <w:marLeft w:val="0"/>
      <w:marRight w:val="0"/>
      <w:marTop w:val="0"/>
      <w:marBottom w:val="0"/>
      <w:divBdr>
        <w:top w:val="none" w:sz="0" w:space="0" w:color="auto"/>
        <w:left w:val="none" w:sz="0" w:space="0" w:color="auto"/>
        <w:bottom w:val="none" w:sz="0" w:space="0" w:color="auto"/>
        <w:right w:val="none" w:sz="0" w:space="0" w:color="auto"/>
      </w:divBdr>
    </w:div>
    <w:div w:id="408889333">
      <w:bodyDiv w:val="1"/>
      <w:marLeft w:val="0"/>
      <w:marRight w:val="0"/>
      <w:marTop w:val="0"/>
      <w:marBottom w:val="0"/>
      <w:divBdr>
        <w:top w:val="none" w:sz="0" w:space="0" w:color="auto"/>
        <w:left w:val="none" w:sz="0" w:space="0" w:color="auto"/>
        <w:bottom w:val="none" w:sz="0" w:space="0" w:color="auto"/>
        <w:right w:val="none" w:sz="0" w:space="0" w:color="auto"/>
      </w:divBdr>
    </w:div>
    <w:div w:id="582761886">
      <w:bodyDiv w:val="1"/>
      <w:marLeft w:val="0"/>
      <w:marRight w:val="0"/>
      <w:marTop w:val="0"/>
      <w:marBottom w:val="0"/>
      <w:divBdr>
        <w:top w:val="none" w:sz="0" w:space="0" w:color="auto"/>
        <w:left w:val="none" w:sz="0" w:space="0" w:color="auto"/>
        <w:bottom w:val="none" w:sz="0" w:space="0" w:color="auto"/>
        <w:right w:val="none" w:sz="0" w:space="0" w:color="auto"/>
      </w:divBdr>
    </w:div>
    <w:div w:id="791245926">
      <w:bodyDiv w:val="1"/>
      <w:marLeft w:val="0"/>
      <w:marRight w:val="0"/>
      <w:marTop w:val="0"/>
      <w:marBottom w:val="0"/>
      <w:divBdr>
        <w:top w:val="none" w:sz="0" w:space="0" w:color="auto"/>
        <w:left w:val="none" w:sz="0" w:space="0" w:color="auto"/>
        <w:bottom w:val="none" w:sz="0" w:space="0" w:color="auto"/>
        <w:right w:val="none" w:sz="0" w:space="0" w:color="auto"/>
      </w:divBdr>
    </w:div>
    <w:div w:id="1016346447">
      <w:bodyDiv w:val="1"/>
      <w:marLeft w:val="0"/>
      <w:marRight w:val="0"/>
      <w:marTop w:val="0"/>
      <w:marBottom w:val="0"/>
      <w:divBdr>
        <w:top w:val="none" w:sz="0" w:space="0" w:color="auto"/>
        <w:left w:val="none" w:sz="0" w:space="0" w:color="auto"/>
        <w:bottom w:val="none" w:sz="0" w:space="0" w:color="auto"/>
        <w:right w:val="none" w:sz="0" w:space="0" w:color="auto"/>
      </w:divBdr>
    </w:div>
    <w:div w:id="1084492397">
      <w:bodyDiv w:val="1"/>
      <w:marLeft w:val="0"/>
      <w:marRight w:val="0"/>
      <w:marTop w:val="0"/>
      <w:marBottom w:val="0"/>
      <w:divBdr>
        <w:top w:val="none" w:sz="0" w:space="0" w:color="auto"/>
        <w:left w:val="none" w:sz="0" w:space="0" w:color="auto"/>
        <w:bottom w:val="none" w:sz="0" w:space="0" w:color="auto"/>
        <w:right w:val="none" w:sz="0" w:space="0" w:color="auto"/>
      </w:divBdr>
      <w:divsChild>
        <w:div w:id="890651114">
          <w:marLeft w:val="0"/>
          <w:marRight w:val="0"/>
          <w:marTop w:val="0"/>
          <w:marBottom w:val="0"/>
          <w:divBdr>
            <w:top w:val="none" w:sz="0" w:space="0" w:color="auto"/>
            <w:left w:val="none" w:sz="0" w:space="0" w:color="auto"/>
            <w:bottom w:val="none" w:sz="0" w:space="0" w:color="auto"/>
            <w:right w:val="none" w:sz="0" w:space="0" w:color="auto"/>
          </w:divBdr>
          <w:divsChild>
            <w:div w:id="253587418">
              <w:marLeft w:val="0"/>
              <w:marRight w:val="0"/>
              <w:marTop w:val="0"/>
              <w:marBottom w:val="0"/>
              <w:divBdr>
                <w:top w:val="none" w:sz="0" w:space="0" w:color="auto"/>
                <w:left w:val="none" w:sz="0" w:space="0" w:color="auto"/>
                <w:bottom w:val="none" w:sz="0" w:space="0" w:color="auto"/>
                <w:right w:val="none" w:sz="0" w:space="0" w:color="auto"/>
              </w:divBdr>
              <w:divsChild>
                <w:div w:id="2081366846">
                  <w:marLeft w:val="0"/>
                  <w:marRight w:val="0"/>
                  <w:marTop w:val="0"/>
                  <w:marBottom w:val="0"/>
                  <w:divBdr>
                    <w:top w:val="none" w:sz="0" w:space="0" w:color="auto"/>
                    <w:left w:val="none" w:sz="0" w:space="0" w:color="auto"/>
                    <w:bottom w:val="none" w:sz="0" w:space="0" w:color="auto"/>
                    <w:right w:val="none" w:sz="0" w:space="0" w:color="auto"/>
                  </w:divBdr>
                  <w:divsChild>
                    <w:div w:id="84436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853042">
      <w:bodyDiv w:val="1"/>
      <w:marLeft w:val="0"/>
      <w:marRight w:val="0"/>
      <w:marTop w:val="0"/>
      <w:marBottom w:val="0"/>
      <w:divBdr>
        <w:top w:val="none" w:sz="0" w:space="0" w:color="auto"/>
        <w:left w:val="none" w:sz="0" w:space="0" w:color="auto"/>
        <w:bottom w:val="none" w:sz="0" w:space="0" w:color="auto"/>
        <w:right w:val="none" w:sz="0" w:space="0" w:color="auto"/>
      </w:divBdr>
    </w:div>
    <w:div w:id="1408190824">
      <w:bodyDiv w:val="1"/>
      <w:marLeft w:val="0"/>
      <w:marRight w:val="0"/>
      <w:marTop w:val="0"/>
      <w:marBottom w:val="0"/>
      <w:divBdr>
        <w:top w:val="none" w:sz="0" w:space="0" w:color="auto"/>
        <w:left w:val="none" w:sz="0" w:space="0" w:color="auto"/>
        <w:bottom w:val="none" w:sz="0" w:space="0" w:color="auto"/>
        <w:right w:val="none" w:sz="0" w:space="0" w:color="auto"/>
      </w:divBdr>
      <w:divsChild>
        <w:div w:id="1601448551">
          <w:marLeft w:val="0"/>
          <w:marRight w:val="0"/>
          <w:marTop w:val="0"/>
          <w:marBottom w:val="0"/>
          <w:divBdr>
            <w:top w:val="none" w:sz="0" w:space="0" w:color="auto"/>
            <w:left w:val="none" w:sz="0" w:space="0" w:color="auto"/>
            <w:bottom w:val="none" w:sz="0" w:space="0" w:color="auto"/>
            <w:right w:val="none" w:sz="0" w:space="0" w:color="auto"/>
          </w:divBdr>
          <w:divsChild>
            <w:div w:id="167600954">
              <w:marLeft w:val="0"/>
              <w:marRight w:val="0"/>
              <w:marTop w:val="0"/>
              <w:marBottom w:val="0"/>
              <w:divBdr>
                <w:top w:val="none" w:sz="0" w:space="0" w:color="auto"/>
                <w:left w:val="none" w:sz="0" w:space="0" w:color="auto"/>
                <w:bottom w:val="none" w:sz="0" w:space="0" w:color="auto"/>
                <w:right w:val="none" w:sz="0" w:space="0" w:color="auto"/>
              </w:divBdr>
              <w:divsChild>
                <w:div w:id="57995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161808">
      <w:bodyDiv w:val="1"/>
      <w:marLeft w:val="0"/>
      <w:marRight w:val="0"/>
      <w:marTop w:val="0"/>
      <w:marBottom w:val="0"/>
      <w:divBdr>
        <w:top w:val="none" w:sz="0" w:space="0" w:color="auto"/>
        <w:left w:val="none" w:sz="0" w:space="0" w:color="auto"/>
        <w:bottom w:val="none" w:sz="0" w:space="0" w:color="auto"/>
        <w:right w:val="none" w:sz="0" w:space="0" w:color="auto"/>
      </w:divBdr>
      <w:divsChild>
        <w:div w:id="692340260">
          <w:marLeft w:val="0"/>
          <w:marRight w:val="0"/>
          <w:marTop w:val="0"/>
          <w:marBottom w:val="0"/>
          <w:divBdr>
            <w:top w:val="none" w:sz="0" w:space="0" w:color="auto"/>
            <w:left w:val="none" w:sz="0" w:space="0" w:color="auto"/>
            <w:bottom w:val="none" w:sz="0" w:space="0" w:color="auto"/>
            <w:right w:val="none" w:sz="0" w:space="0" w:color="auto"/>
          </w:divBdr>
          <w:divsChild>
            <w:div w:id="1713455276">
              <w:marLeft w:val="0"/>
              <w:marRight w:val="0"/>
              <w:marTop w:val="0"/>
              <w:marBottom w:val="0"/>
              <w:divBdr>
                <w:top w:val="none" w:sz="0" w:space="0" w:color="auto"/>
                <w:left w:val="none" w:sz="0" w:space="0" w:color="auto"/>
                <w:bottom w:val="none" w:sz="0" w:space="0" w:color="auto"/>
                <w:right w:val="none" w:sz="0" w:space="0" w:color="auto"/>
              </w:divBdr>
              <w:divsChild>
                <w:div w:id="3674262">
                  <w:marLeft w:val="0"/>
                  <w:marRight w:val="0"/>
                  <w:marTop w:val="0"/>
                  <w:marBottom w:val="0"/>
                  <w:divBdr>
                    <w:top w:val="none" w:sz="0" w:space="0" w:color="auto"/>
                    <w:left w:val="none" w:sz="0" w:space="0" w:color="auto"/>
                    <w:bottom w:val="none" w:sz="0" w:space="0" w:color="auto"/>
                    <w:right w:val="none" w:sz="0" w:space="0" w:color="auto"/>
                  </w:divBdr>
                  <w:divsChild>
                    <w:div w:id="80859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110907">
      <w:bodyDiv w:val="1"/>
      <w:marLeft w:val="0"/>
      <w:marRight w:val="0"/>
      <w:marTop w:val="0"/>
      <w:marBottom w:val="0"/>
      <w:divBdr>
        <w:top w:val="none" w:sz="0" w:space="0" w:color="auto"/>
        <w:left w:val="none" w:sz="0" w:space="0" w:color="auto"/>
        <w:bottom w:val="none" w:sz="0" w:space="0" w:color="auto"/>
        <w:right w:val="none" w:sz="0" w:space="0" w:color="auto"/>
      </w:divBdr>
      <w:divsChild>
        <w:div w:id="1129586446">
          <w:marLeft w:val="0"/>
          <w:marRight w:val="0"/>
          <w:marTop w:val="0"/>
          <w:marBottom w:val="0"/>
          <w:divBdr>
            <w:top w:val="none" w:sz="0" w:space="0" w:color="auto"/>
            <w:left w:val="none" w:sz="0" w:space="0" w:color="auto"/>
            <w:bottom w:val="none" w:sz="0" w:space="0" w:color="auto"/>
            <w:right w:val="none" w:sz="0" w:space="0" w:color="auto"/>
          </w:divBdr>
          <w:divsChild>
            <w:div w:id="1363281745">
              <w:marLeft w:val="0"/>
              <w:marRight w:val="0"/>
              <w:marTop w:val="0"/>
              <w:marBottom w:val="0"/>
              <w:divBdr>
                <w:top w:val="none" w:sz="0" w:space="0" w:color="auto"/>
                <w:left w:val="none" w:sz="0" w:space="0" w:color="auto"/>
                <w:bottom w:val="none" w:sz="0" w:space="0" w:color="auto"/>
                <w:right w:val="none" w:sz="0" w:space="0" w:color="auto"/>
              </w:divBdr>
              <w:divsChild>
                <w:div w:id="144588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447109">
      <w:bodyDiv w:val="1"/>
      <w:marLeft w:val="0"/>
      <w:marRight w:val="0"/>
      <w:marTop w:val="0"/>
      <w:marBottom w:val="0"/>
      <w:divBdr>
        <w:top w:val="none" w:sz="0" w:space="0" w:color="auto"/>
        <w:left w:val="none" w:sz="0" w:space="0" w:color="auto"/>
        <w:bottom w:val="none" w:sz="0" w:space="0" w:color="auto"/>
        <w:right w:val="none" w:sz="0" w:space="0" w:color="auto"/>
      </w:divBdr>
      <w:divsChild>
        <w:div w:id="1044595898">
          <w:marLeft w:val="0"/>
          <w:marRight w:val="0"/>
          <w:marTop w:val="300"/>
          <w:marBottom w:val="0"/>
          <w:divBdr>
            <w:top w:val="none" w:sz="0" w:space="0" w:color="auto"/>
            <w:left w:val="none" w:sz="0" w:space="0" w:color="auto"/>
            <w:bottom w:val="none" w:sz="0" w:space="0" w:color="auto"/>
            <w:right w:val="none" w:sz="0" w:space="0" w:color="auto"/>
          </w:divBdr>
        </w:div>
      </w:divsChild>
    </w:div>
    <w:div w:id="1725443944">
      <w:bodyDiv w:val="1"/>
      <w:marLeft w:val="0"/>
      <w:marRight w:val="0"/>
      <w:marTop w:val="0"/>
      <w:marBottom w:val="0"/>
      <w:divBdr>
        <w:top w:val="none" w:sz="0" w:space="0" w:color="auto"/>
        <w:left w:val="none" w:sz="0" w:space="0" w:color="auto"/>
        <w:bottom w:val="none" w:sz="0" w:space="0" w:color="auto"/>
        <w:right w:val="none" w:sz="0" w:space="0" w:color="auto"/>
      </w:divBdr>
      <w:divsChild>
        <w:div w:id="36897858">
          <w:marLeft w:val="0"/>
          <w:marRight w:val="0"/>
          <w:marTop w:val="0"/>
          <w:marBottom w:val="0"/>
          <w:divBdr>
            <w:top w:val="none" w:sz="0" w:space="0" w:color="auto"/>
            <w:left w:val="none" w:sz="0" w:space="0" w:color="auto"/>
            <w:bottom w:val="none" w:sz="0" w:space="0" w:color="auto"/>
            <w:right w:val="none" w:sz="0" w:space="0" w:color="auto"/>
          </w:divBdr>
          <w:divsChild>
            <w:div w:id="1637300745">
              <w:marLeft w:val="0"/>
              <w:marRight w:val="0"/>
              <w:marTop w:val="0"/>
              <w:marBottom w:val="0"/>
              <w:divBdr>
                <w:top w:val="none" w:sz="0" w:space="0" w:color="auto"/>
                <w:left w:val="none" w:sz="0" w:space="0" w:color="auto"/>
                <w:bottom w:val="none" w:sz="0" w:space="0" w:color="auto"/>
                <w:right w:val="none" w:sz="0" w:space="0" w:color="auto"/>
              </w:divBdr>
              <w:divsChild>
                <w:div w:id="12546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859422">
      <w:bodyDiv w:val="1"/>
      <w:marLeft w:val="0"/>
      <w:marRight w:val="0"/>
      <w:marTop w:val="0"/>
      <w:marBottom w:val="0"/>
      <w:divBdr>
        <w:top w:val="none" w:sz="0" w:space="0" w:color="auto"/>
        <w:left w:val="none" w:sz="0" w:space="0" w:color="auto"/>
        <w:bottom w:val="none" w:sz="0" w:space="0" w:color="auto"/>
        <w:right w:val="none" w:sz="0" w:space="0" w:color="auto"/>
      </w:divBdr>
      <w:divsChild>
        <w:div w:id="1273323309">
          <w:marLeft w:val="0"/>
          <w:marRight w:val="0"/>
          <w:marTop w:val="0"/>
          <w:marBottom w:val="0"/>
          <w:divBdr>
            <w:top w:val="none" w:sz="0" w:space="0" w:color="auto"/>
            <w:left w:val="none" w:sz="0" w:space="0" w:color="auto"/>
            <w:bottom w:val="none" w:sz="0" w:space="0" w:color="auto"/>
            <w:right w:val="none" w:sz="0" w:space="0" w:color="auto"/>
          </w:divBdr>
          <w:divsChild>
            <w:div w:id="307706069">
              <w:marLeft w:val="0"/>
              <w:marRight w:val="0"/>
              <w:marTop w:val="0"/>
              <w:marBottom w:val="0"/>
              <w:divBdr>
                <w:top w:val="none" w:sz="0" w:space="0" w:color="auto"/>
                <w:left w:val="none" w:sz="0" w:space="0" w:color="auto"/>
                <w:bottom w:val="none" w:sz="0" w:space="0" w:color="auto"/>
                <w:right w:val="none" w:sz="0" w:space="0" w:color="auto"/>
              </w:divBdr>
              <w:divsChild>
                <w:div w:id="1280795395">
                  <w:marLeft w:val="0"/>
                  <w:marRight w:val="0"/>
                  <w:marTop w:val="0"/>
                  <w:marBottom w:val="0"/>
                  <w:divBdr>
                    <w:top w:val="none" w:sz="0" w:space="0" w:color="auto"/>
                    <w:left w:val="none" w:sz="0" w:space="0" w:color="auto"/>
                    <w:bottom w:val="none" w:sz="0" w:space="0" w:color="auto"/>
                    <w:right w:val="none" w:sz="0" w:space="0" w:color="auto"/>
                  </w:divBdr>
                  <w:divsChild>
                    <w:div w:id="161324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600743">
      <w:bodyDiv w:val="1"/>
      <w:marLeft w:val="0"/>
      <w:marRight w:val="0"/>
      <w:marTop w:val="0"/>
      <w:marBottom w:val="0"/>
      <w:divBdr>
        <w:top w:val="none" w:sz="0" w:space="0" w:color="auto"/>
        <w:left w:val="none" w:sz="0" w:space="0" w:color="auto"/>
        <w:bottom w:val="none" w:sz="0" w:space="0" w:color="auto"/>
        <w:right w:val="none" w:sz="0" w:space="0" w:color="auto"/>
      </w:divBdr>
      <w:divsChild>
        <w:div w:id="1455253754">
          <w:marLeft w:val="0"/>
          <w:marRight w:val="0"/>
          <w:marTop w:val="0"/>
          <w:marBottom w:val="0"/>
          <w:divBdr>
            <w:top w:val="none" w:sz="0" w:space="0" w:color="auto"/>
            <w:left w:val="none" w:sz="0" w:space="0" w:color="auto"/>
            <w:bottom w:val="none" w:sz="0" w:space="0" w:color="auto"/>
            <w:right w:val="none" w:sz="0" w:space="0" w:color="auto"/>
          </w:divBdr>
          <w:divsChild>
            <w:div w:id="1700928122">
              <w:marLeft w:val="0"/>
              <w:marRight w:val="0"/>
              <w:marTop w:val="0"/>
              <w:marBottom w:val="0"/>
              <w:divBdr>
                <w:top w:val="none" w:sz="0" w:space="0" w:color="auto"/>
                <w:left w:val="none" w:sz="0" w:space="0" w:color="auto"/>
                <w:bottom w:val="none" w:sz="0" w:space="0" w:color="auto"/>
                <w:right w:val="none" w:sz="0" w:space="0" w:color="auto"/>
              </w:divBdr>
              <w:divsChild>
                <w:div w:id="1606573375">
                  <w:marLeft w:val="0"/>
                  <w:marRight w:val="0"/>
                  <w:marTop w:val="0"/>
                  <w:marBottom w:val="0"/>
                  <w:divBdr>
                    <w:top w:val="none" w:sz="0" w:space="0" w:color="auto"/>
                    <w:left w:val="none" w:sz="0" w:space="0" w:color="auto"/>
                    <w:bottom w:val="none" w:sz="0" w:space="0" w:color="auto"/>
                    <w:right w:val="none" w:sz="0" w:space="0" w:color="auto"/>
                  </w:divBdr>
                  <w:divsChild>
                    <w:div w:id="160329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TotalTime>
  <Pages>2</Pages>
  <Words>1083</Words>
  <Characters>6178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43</cp:revision>
  <dcterms:created xsi:type="dcterms:W3CDTF">2022-07-22T14:19:00Z</dcterms:created>
  <dcterms:modified xsi:type="dcterms:W3CDTF">2022-08-01T12:00:00Z</dcterms:modified>
</cp:coreProperties>
</file>