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A8D40" w14:textId="427D44C4" w:rsidR="002C0F2B" w:rsidRPr="00321C17" w:rsidRDefault="002C0F2B" w:rsidP="001F414A">
      <w:pPr>
        <w:jc w:val="both"/>
        <w:rPr>
          <w:sz w:val="22"/>
          <w:szCs w:val="22"/>
          <w:lang w:val="en-GB"/>
        </w:rPr>
      </w:pPr>
      <w:r w:rsidRPr="00321C17">
        <w:rPr>
          <w:sz w:val="22"/>
          <w:szCs w:val="22"/>
          <w:lang w:val="en-GB"/>
        </w:rPr>
        <w:t xml:space="preserve">                                                                                                                       </w:t>
      </w:r>
    </w:p>
    <w:p w14:paraId="4910C0FB" w14:textId="77777777" w:rsidR="00127F52" w:rsidRDefault="00127F52" w:rsidP="00AA0BB7">
      <w:pPr>
        <w:pStyle w:val="MDPI12title"/>
        <w:rPr>
          <w:rFonts w:ascii="Times New Roman" w:eastAsia="MS PGothic" w:hAnsi="Times New Roman"/>
          <w:b w:val="0"/>
          <w:sz w:val="28"/>
          <w:szCs w:val="28"/>
        </w:rPr>
      </w:pPr>
    </w:p>
    <w:p w14:paraId="675BF590" w14:textId="5AC3EFD0" w:rsidR="0034567C" w:rsidRPr="00EC2A1D" w:rsidRDefault="000711A3" w:rsidP="0034567C">
      <w:pPr>
        <w:pStyle w:val="MDPI12title"/>
        <w:rPr>
          <w:rFonts w:ascii="Times New Roman" w:hAnsi="Times New Roman"/>
          <w:bCs/>
          <w:sz w:val="28"/>
          <w:szCs w:val="28"/>
        </w:rPr>
      </w:pPr>
      <w:r w:rsidRPr="00EC2A1D">
        <w:rPr>
          <w:rFonts w:ascii="Times New Roman" w:hAnsi="Times New Roman"/>
          <w:bCs/>
          <w:sz w:val="32"/>
          <w:szCs w:val="32"/>
        </w:rPr>
        <w:t xml:space="preserve">A rare case of </w:t>
      </w:r>
      <w:proofErr w:type="spellStart"/>
      <w:r w:rsidRPr="00EC2A1D">
        <w:rPr>
          <w:rFonts w:ascii="Times New Roman" w:hAnsi="Times New Roman"/>
          <w:bCs/>
          <w:sz w:val="32"/>
          <w:szCs w:val="32"/>
        </w:rPr>
        <w:t>blastic</w:t>
      </w:r>
      <w:proofErr w:type="spellEnd"/>
      <w:r w:rsidRPr="00EC2A1D">
        <w:rPr>
          <w:rFonts w:ascii="Times New Roman" w:hAnsi="Times New Roman"/>
          <w:bCs/>
          <w:sz w:val="32"/>
          <w:szCs w:val="32"/>
        </w:rPr>
        <w:t xml:space="preserve"> </w:t>
      </w:r>
      <w:proofErr w:type="spellStart"/>
      <w:r w:rsidRPr="00EC2A1D">
        <w:rPr>
          <w:rFonts w:ascii="Times New Roman" w:hAnsi="Times New Roman"/>
          <w:bCs/>
          <w:sz w:val="32"/>
          <w:szCs w:val="32"/>
        </w:rPr>
        <w:t>plasmacytoid</w:t>
      </w:r>
      <w:proofErr w:type="spellEnd"/>
      <w:r w:rsidRPr="00EC2A1D">
        <w:rPr>
          <w:rFonts w:ascii="Times New Roman" w:hAnsi="Times New Roman"/>
          <w:bCs/>
          <w:sz w:val="32"/>
          <w:szCs w:val="32"/>
        </w:rPr>
        <w:t xml:space="preserve"> dendritic cell neoplasm in a child mimicking lymphoma/leukemia cutis</w:t>
      </w:r>
    </w:p>
    <w:p w14:paraId="0A25BE88" w14:textId="2DC607F6" w:rsidR="00AC3BCD" w:rsidRDefault="006C6723" w:rsidP="001940D4">
      <w:pPr>
        <w:rPr>
          <w:rFonts w:eastAsia="MS PGothic"/>
          <w:color w:val="000000"/>
        </w:rPr>
      </w:pPr>
      <w:r w:rsidRPr="001940D4">
        <w:rPr>
          <w:rFonts w:eastAsia="MS PGothic"/>
          <w:color w:val="000000"/>
        </w:rPr>
        <w:t>Phanitchana</w:t>
      </w:r>
      <w:r w:rsidR="00B31A2D" w:rsidRPr="001940D4">
        <w:rPr>
          <w:rFonts w:eastAsia="MS PGothic"/>
          <w:color w:val="000000"/>
        </w:rPr>
        <w:t>t Phusuphitchayanan</w:t>
      </w:r>
      <w:r w:rsidR="001940D4">
        <w:rPr>
          <w:rFonts w:eastAsia="MS PGothic"/>
          <w:color w:val="000000"/>
        </w:rPr>
        <w:t>*</w:t>
      </w:r>
    </w:p>
    <w:p w14:paraId="64A24E40" w14:textId="77777777" w:rsidR="00041FEB" w:rsidRDefault="00041FEB" w:rsidP="007C5108">
      <w:pPr>
        <w:pStyle w:val="MDPI17abstract"/>
        <w:ind w:left="0"/>
        <w:rPr>
          <w:rFonts w:ascii="Times New Roman" w:hAnsi="Times New Roman"/>
          <w:b/>
          <w:sz w:val="24"/>
          <w:szCs w:val="24"/>
        </w:rPr>
      </w:pPr>
      <w:proofErr w:type="spellStart"/>
      <w:r w:rsidRPr="00041FEB">
        <w:rPr>
          <w:rFonts w:ascii="Times New Roman" w:hAnsi="Times New Roman"/>
          <w:sz w:val="22"/>
        </w:rPr>
        <w:t>Chulalongkorn</w:t>
      </w:r>
      <w:proofErr w:type="spellEnd"/>
      <w:r w:rsidRPr="00041FEB">
        <w:rPr>
          <w:rFonts w:ascii="Times New Roman" w:hAnsi="Times New Roman"/>
          <w:sz w:val="22"/>
        </w:rPr>
        <w:t xml:space="preserve"> University, Thailand</w:t>
      </w:r>
      <w:r>
        <w:rPr>
          <w:rFonts w:ascii="Times New Roman" w:hAnsi="Times New Roman"/>
          <w:b/>
          <w:sz w:val="24"/>
          <w:szCs w:val="24"/>
        </w:rPr>
        <w:t xml:space="preserve">      </w:t>
      </w:r>
      <w:r w:rsidR="00EC2A1D">
        <w:rPr>
          <w:rFonts w:ascii="Times New Roman" w:hAnsi="Times New Roman"/>
          <w:b/>
          <w:sz w:val="24"/>
          <w:szCs w:val="24"/>
        </w:rPr>
        <w:t xml:space="preserve"> </w:t>
      </w:r>
    </w:p>
    <w:p w14:paraId="45B54BF0" w14:textId="5488FAE8" w:rsidR="00127F52" w:rsidRPr="00EC2A1D" w:rsidRDefault="00041FEB" w:rsidP="007C5108">
      <w:pPr>
        <w:pStyle w:val="MDPI17abstract"/>
        <w:ind w:left="0"/>
        <w:rPr>
          <w:rFonts w:ascii="Times New Roman" w:hAnsi="Times New Roman"/>
          <w:b/>
          <w:sz w:val="24"/>
          <w:szCs w:val="24"/>
        </w:rPr>
      </w:pPr>
      <w:r>
        <w:rPr>
          <w:rFonts w:ascii="Times New Roman" w:hAnsi="Times New Roman"/>
          <w:b/>
          <w:sz w:val="24"/>
          <w:szCs w:val="24"/>
        </w:rPr>
        <w:t xml:space="preserve">                                                             </w:t>
      </w:r>
      <w:bookmarkStart w:id="0" w:name="_GoBack"/>
      <w:bookmarkEnd w:id="0"/>
      <w:r w:rsidR="00EC2A1D" w:rsidRPr="00EC2A1D">
        <w:rPr>
          <w:rFonts w:ascii="Times New Roman" w:hAnsi="Times New Roman"/>
          <w:b/>
          <w:sz w:val="24"/>
          <w:szCs w:val="24"/>
        </w:rPr>
        <w:t>Abstract</w:t>
      </w:r>
    </w:p>
    <w:p w14:paraId="6A045180" w14:textId="5B0A8073" w:rsidR="00955BD4" w:rsidRPr="00EC2A1D" w:rsidRDefault="00955BD4" w:rsidP="00EC2A1D">
      <w:pPr>
        <w:adjustRightInd w:val="0"/>
        <w:snapToGrid w:val="0"/>
        <w:spacing w:before="240" w:line="260" w:lineRule="atLeast"/>
        <w:jc w:val="both"/>
        <w:rPr>
          <w:sz w:val="20"/>
          <w:szCs w:val="20"/>
        </w:rPr>
      </w:pPr>
      <w:r w:rsidRPr="00EC2A1D">
        <w:rPr>
          <w:sz w:val="20"/>
          <w:szCs w:val="20"/>
        </w:rPr>
        <w:t>Blastic plasmacytoid dendritic cell neoplasm (BPDCN) is a rare tumor that affects elderly individuals and presents a poor prognosis. Skin is the most common site of involvement, accounting for 89% of the cases. Extracutaneous organs, especially bone marrow, lymph nodes, and peripheral blood, can be involved at the time of diagnosis. We report a case of BPDCN in a child, presenting with a cutaneous lesion mimicking lymphoma or leukemia cutis. The histologic findings revealed a dense diffuse infiltration by monomorphic agranular medium-sized blast cells with sparing of the grenz zone, whose first immunophenotypic profile raised the possibility of diagnosing B lymphoblastic lymphoma or leukemia. However, the absence of CD10 expression and strongly positive expression for CD4, CD56, CD45RA, and the plasmacytoid dendritic cell-associated antigens, including CD123, supported the definite diagnosis of BPDCN.</w:t>
      </w:r>
      <w:r w:rsidR="005F4B93" w:rsidRPr="00EC2A1D">
        <w:rPr>
          <w:sz w:val="20"/>
          <w:szCs w:val="20"/>
        </w:rPr>
        <w:t xml:space="preserve"> </w:t>
      </w:r>
      <w:r w:rsidR="00B507EC" w:rsidRPr="00EC2A1D">
        <w:rPr>
          <w:sz w:val="20"/>
          <w:szCs w:val="20"/>
        </w:rPr>
        <w:t xml:space="preserve">Although </w:t>
      </w:r>
      <w:r w:rsidR="00B507EC" w:rsidRPr="00EC2A1D">
        <w:rPr>
          <w:color w:val="000000"/>
          <w:sz w:val="20"/>
          <w:szCs w:val="20"/>
          <w:lang w:val="en-US" w:eastAsia="de-DE" w:bidi="en-US"/>
        </w:rPr>
        <w:t>t</w:t>
      </w:r>
      <w:r w:rsidR="005F4B93" w:rsidRPr="00EC2A1D">
        <w:rPr>
          <w:color w:val="000000"/>
          <w:sz w:val="20"/>
          <w:szCs w:val="20"/>
          <w:lang w:val="en-US" w:eastAsia="de-DE" w:bidi="en-US"/>
        </w:rPr>
        <w:t>he standard treatment for BPDCN is not established, however, chemotherapy including ALL, AML, and NHL regimens were proposed</w:t>
      </w:r>
      <w:r w:rsidR="005023F2" w:rsidRPr="00EC2A1D">
        <w:rPr>
          <w:color w:val="000000"/>
          <w:sz w:val="20"/>
          <w:szCs w:val="20"/>
          <w:lang w:val="en-US" w:eastAsia="de-DE" w:bidi="en-US"/>
        </w:rPr>
        <w:t xml:space="preserve"> with combining HSCT and anti-CD123 with chemotherapy was suggested to prevent relapse. </w:t>
      </w:r>
      <w:r w:rsidR="005656D8" w:rsidRPr="00EC2A1D">
        <w:rPr>
          <w:color w:val="000000"/>
          <w:sz w:val="20"/>
          <w:szCs w:val="20"/>
          <w:lang w:val="en-US" w:eastAsia="de-DE" w:bidi="en-US"/>
        </w:rPr>
        <w:t>O</w:t>
      </w:r>
      <w:r w:rsidR="000F5A8C" w:rsidRPr="00EC2A1D">
        <w:rPr>
          <w:sz w:val="20"/>
          <w:szCs w:val="20"/>
        </w:rPr>
        <w:t>ur</w:t>
      </w:r>
      <w:r w:rsidRPr="00EC2A1D">
        <w:rPr>
          <w:sz w:val="20"/>
          <w:szCs w:val="20"/>
        </w:rPr>
        <w:t xml:space="preserve"> patient responded well to a systemic combination chemotherapy regimen, modified from the</w:t>
      </w:r>
      <w:r w:rsidRPr="00EC2A1D">
        <w:rPr>
          <w:rFonts w:eastAsia="Arial"/>
          <w:sz w:val="20"/>
          <w:szCs w:val="20"/>
        </w:rPr>
        <w:t xml:space="preserve"> </w:t>
      </w:r>
      <w:r w:rsidRPr="00EC2A1D">
        <w:rPr>
          <w:sz w:val="20"/>
          <w:szCs w:val="20"/>
        </w:rPr>
        <w:t>Associazione Italiana Ematologia Oncologia Pediatrica (AIEOP) protocol for anaplastic large cell lymphoma (ALCL</w:t>
      </w:r>
      <w:proofErr w:type="gramStart"/>
      <w:r w:rsidRPr="00EC2A1D">
        <w:rPr>
          <w:sz w:val="20"/>
          <w:szCs w:val="20"/>
        </w:rPr>
        <w:t>), that</w:t>
      </w:r>
      <w:proofErr w:type="gramEnd"/>
      <w:r w:rsidRPr="00EC2A1D">
        <w:rPr>
          <w:sz w:val="20"/>
          <w:szCs w:val="20"/>
        </w:rPr>
        <w:t xml:space="preserve"> differed from the established recommendation</w:t>
      </w:r>
      <w:r w:rsidR="00C56D59" w:rsidRPr="00EC2A1D">
        <w:rPr>
          <w:sz w:val="20"/>
          <w:szCs w:val="20"/>
        </w:rPr>
        <w:t xml:space="preserve">. </w:t>
      </w:r>
      <w:r w:rsidR="007934F4" w:rsidRPr="00EC2A1D">
        <w:rPr>
          <w:sz w:val="20"/>
          <w:szCs w:val="20"/>
        </w:rPr>
        <w:t>Due</w:t>
      </w:r>
      <w:r w:rsidRPr="00EC2A1D">
        <w:rPr>
          <w:sz w:val="20"/>
          <w:szCs w:val="20"/>
        </w:rPr>
        <w:t xml:space="preserve"> to the patient's excellent treatment outcome, this regimen could represent an effective alternative regimen for BPDCN in children. </w:t>
      </w:r>
    </w:p>
    <w:p w14:paraId="23B478F3" w14:textId="0265BF9B" w:rsidR="00AC3BCD" w:rsidRPr="00EC2A1D" w:rsidRDefault="00AC3BCD" w:rsidP="00AC3BCD">
      <w:pPr>
        <w:jc w:val="both"/>
        <w:rPr>
          <w:color w:val="000000"/>
          <w:sz w:val="20"/>
          <w:szCs w:val="20"/>
        </w:rPr>
      </w:pPr>
    </w:p>
    <w:p w14:paraId="08AE0FEB" w14:textId="54DB5AD9" w:rsidR="00A76779" w:rsidRPr="00EC2A1D" w:rsidRDefault="00C65F09" w:rsidP="00A76779">
      <w:pPr>
        <w:autoSpaceDE w:val="0"/>
        <w:autoSpaceDN w:val="0"/>
        <w:adjustRightInd w:val="0"/>
        <w:rPr>
          <w:b/>
          <w:lang w:val="en-NZ"/>
        </w:rPr>
      </w:pPr>
      <w:r w:rsidRPr="00EC2A1D">
        <w:rPr>
          <w:b/>
          <w:lang w:val="en-NZ"/>
        </w:rPr>
        <w:t>References</w:t>
      </w:r>
    </w:p>
    <w:p w14:paraId="18A56B56" w14:textId="77777777" w:rsidR="00A76779" w:rsidRPr="00EC2A1D" w:rsidRDefault="00A76779" w:rsidP="00A76779">
      <w:pPr>
        <w:adjustRightInd w:val="0"/>
        <w:snapToGrid w:val="0"/>
        <w:spacing w:line="228" w:lineRule="auto"/>
        <w:ind w:left="850"/>
        <w:jc w:val="both"/>
        <w:rPr>
          <w:color w:val="000000"/>
          <w:sz w:val="20"/>
          <w:szCs w:val="20"/>
          <w:lang w:val="" w:eastAsia="de-DE" w:bidi="en-US"/>
        </w:rPr>
      </w:pPr>
    </w:p>
    <w:p w14:paraId="1D13883A" w14:textId="77777777" w:rsidR="00A76779" w:rsidRPr="00EC2A1D" w:rsidRDefault="00A76779" w:rsidP="00A76779">
      <w:pPr>
        <w:numPr>
          <w:ilvl w:val="0"/>
          <w:numId w:val="4"/>
        </w:numPr>
        <w:adjustRightInd w:val="0"/>
        <w:snapToGrid w:val="0"/>
        <w:spacing w:line="228" w:lineRule="auto"/>
        <w:jc w:val="both"/>
        <w:rPr>
          <w:b/>
          <w:color w:val="000000"/>
          <w:sz w:val="20"/>
          <w:szCs w:val="20"/>
          <w:lang w:val="" w:eastAsia="de-DE" w:bidi="en-US"/>
        </w:rPr>
      </w:pPr>
      <w:r w:rsidRPr="00EC2A1D">
        <w:rPr>
          <w:color w:val="000000"/>
          <w:sz w:val="20"/>
          <w:szCs w:val="20"/>
          <w:lang w:val="" w:eastAsia="de-DE" w:bidi="en-US"/>
        </w:rPr>
        <w:t xml:space="preserve">Facchetti, F.; Petrella, T.; Pileri, S.A. Blastic Plasmacytoid Dendritic Cell Neoplasm. In </w:t>
      </w:r>
      <w:r w:rsidRPr="00EC2A1D">
        <w:rPr>
          <w:i/>
          <w:color w:val="000000"/>
          <w:sz w:val="20"/>
          <w:szCs w:val="20"/>
          <w:lang w:val="" w:eastAsia="de-DE" w:bidi="en-US"/>
        </w:rPr>
        <w:t xml:space="preserve">WHO Classification of Tumours of Haematopoietic and Lymphoid Tissues. </w:t>
      </w:r>
      <w:r w:rsidRPr="00EC2A1D">
        <w:rPr>
          <w:color w:val="000000"/>
          <w:sz w:val="20"/>
          <w:szCs w:val="20"/>
          <w:lang w:val="" w:eastAsia="de-DE" w:bidi="en-US"/>
        </w:rPr>
        <w:t>revised 4th ed, Swerdlow, S.H., Campo, E., Harris, N.L., Jaffe, E.S., Pileri, S.A., Stein, H., Thiele, J., Eds.; IARC: Lyon, France, 2017; pp. 173–177.</w:t>
      </w:r>
    </w:p>
    <w:p w14:paraId="115DE593"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2. </w:t>
      </w:r>
      <w:r w:rsidRPr="00EC2A1D">
        <w:rPr>
          <w:color w:val="000000"/>
          <w:sz w:val="20"/>
          <w:szCs w:val="20"/>
          <w:lang w:val="" w:eastAsia="de-DE" w:bidi="en-US"/>
        </w:rPr>
        <w:tab/>
        <w:t>Laribi, K.; Baugier de Materre, A.;</w:t>
      </w:r>
      <w:r w:rsidRPr="00EC2A1D">
        <w:rPr>
          <w:color w:val="000000"/>
          <w:sz w:val="20"/>
          <w:szCs w:val="20"/>
          <w:vertAlign w:val="superscript"/>
          <w:lang w:val="" w:eastAsia="de-DE" w:bidi="en-US"/>
        </w:rPr>
        <w:t xml:space="preserve"> </w:t>
      </w:r>
      <w:r w:rsidRPr="00EC2A1D">
        <w:rPr>
          <w:color w:val="000000"/>
          <w:sz w:val="20"/>
          <w:szCs w:val="20"/>
          <w:lang w:val="" w:eastAsia="de-DE" w:bidi="en-US"/>
        </w:rPr>
        <w:t xml:space="preserve">Sobh, M.; Cerroni, L.; Valentini, C.G.; Aoki, T.; Suzuki, R.; Takeuchi, K.; Frankel, A.E.; Cota, C.; et al. Blastic Plasmacytoid Dendritic Cell Neoplasms: Results of an International Survey on 398 Adult Patients. </w:t>
      </w:r>
      <w:r w:rsidRPr="00EC2A1D">
        <w:rPr>
          <w:i/>
          <w:color w:val="000000"/>
          <w:sz w:val="20"/>
          <w:szCs w:val="20"/>
          <w:lang w:val="" w:eastAsia="de-DE" w:bidi="en-US"/>
        </w:rPr>
        <w:t xml:space="preserve">Blood Adv. </w:t>
      </w:r>
      <w:r w:rsidRPr="00EC2A1D">
        <w:rPr>
          <w:b/>
          <w:color w:val="000000"/>
          <w:sz w:val="20"/>
          <w:szCs w:val="20"/>
          <w:lang w:val="" w:eastAsia="de-DE" w:bidi="en-US"/>
        </w:rPr>
        <w:t>2020</w:t>
      </w:r>
      <w:r w:rsidRPr="00EC2A1D">
        <w:rPr>
          <w:color w:val="000000"/>
          <w:sz w:val="20"/>
          <w:szCs w:val="20"/>
          <w:lang w:val="" w:eastAsia="de-DE" w:bidi="en-US"/>
        </w:rPr>
        <w:t xml:space="preserve">, </w:t>
      </w:r>
      <w:r w:rsidRPr="00EC2A1D">
        <w:rPr>
          <w:i/>
          <w:color w:val="000000"/>
          <w:sz w:val="20"/>
          <w:szCs w:val="20"/>
          <w:lang w:val="" w:eastAsia="de-DE" w:bidi="en-US"/>
        </w:rPr>
        <w:t>4</w:t>
      </w:r>
      <w:r w:rsidRPr="00EC2A1D">
        <w:rPr>
          <w:color w:val="000000"/>
          <w:sz w:val="20"/>
          <w:szCs w:val="20"/>
          <w:lang w:val="" w:eastAsia="de-DE" w:bidi="en-US"/>
        </w:rPr>
        <w:t>, 4838–4848. DOI:</w:t>
      </w:r>
      <w:hyperlink r:id="rId9" w:history="1">
        <w:r w:rsidRPr="00EC2A1D">
          <w:rPr>
            <w:color w:val="0000FF"/>
            <w:sz w:val="20"/>
            <w:szCs w:val="20"/>
            <w:u w:val="single"/>
            <w:lang w:val="" w:eastAsia="de-DE" w:bidi="en-US"/>
          </w:rPr>
          <w:t>10.1182/bloodadvances.2020002474</w:t>
        </w:r>
      </w:hyperlink>
      <w:r w:rsidRPr="00EC2A1D">
        <w:rPr>
          <w:color w:val="000000"/>
          <w:sz w:val="20"/>
          <w:szCs w:val="20"/>
          <w:lang w:val="" w:eastAsia="de-DE" w:bidi="en-US"/>
        </w:rPr>
        <w:t>.</w:t>
      </w:r>
    </w:p>
    <w:p w14:paraId="5A3CFD56"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3. </w:t>
      </w:r>
      <w:r w:rsidRPr="00EC2A1D">
        <w:rPr>
          <w:color w:val="000000"/>
          <w:sz w:val="20"/>
          <w:szCs w:val="20"/>
          <w:lang w:val="" w:eastAsia="de-DE" w:bidi="en-US"/>
        </w:rPr>
        <w:tab/>
        <w:t xml:space="preserve">Jegalian, A.G.; Buxbaum, N.P.; Facchetti, F.; Raffeld, M.; Pittaluga, S.; Wayne, A.S.; Jaffe, E.S. Blastic Plasmacytoid Dendritic Cell Neoplasm in Children: Diagnostic Features and Clinical Implications. </w:t>
      </w:r>
      <w:r w:rsidRPr="00EC2A1D">
        <w:rPr>
          <w:i/>
          <w:color w:val="000000"/>
          <w:sz w:val="20"/>
          <w:szCs w:val="20"/>
          <w:lang w:val="" w:eastAsia="de-DE" w:bidi="en-US"/>
        </w:rPr>
        <w:t xml:space="preserve">Haematologica. </w:t>
      </w:r>
      <w:r w:rsidRPr="00EC2A1D">
        <w:rPr>
          <w:b/>
          <w:color w:val="000000"/>
          <w:sz w:val="20"/>
          <w:szCs w:val="20"/>
          <w:lang w:val="" w:eastAsia="de-DE" w:bidi="en-US"/>
        </w:rPr>
        <w:t>2010</w:t>
      </w:r>
      <w:r w:rsidRPr="00EC2A1D">
        <w:rPr>
          <w:color w:val="000000"/>
          <w:sz w:val="20"/>
          <w:szCs w:val="20"/>
          <w:lang w:val="" w:eastAsia="de-DE" w:bidi="en-US"/>
        </w:rPr>
        <w:t xml:space="preserve">, </w:t>
      </w:r>
      <w:r w:rsidRPr="00EC2A1D">
        <w:rPr>
          <w:i/>
          <w:color w:val="000000"/>
          <w:sz w:val="20"/>
          <w:szCs w:val="20"/>
          <w:lang w:val="" w:eastAsia="de-DE" w:bidi="en-US"/>
        </w:rPr>
        <w:t>95</w:t>
      </w:r>
      <w:r w:rsidRPr="00EC2A1D">
        <w:rPr>
          <w:color w:val="000000"/>
          <w:sz w:val="20"/>
          <w:szCs w:val="20"/>
          <w:lang w:val="" w:eastAsia="de-DE" w:bidi="en-US"/>
        </w:rPr>
        <w:t>, 1873–1879. DOI:</w:t>
      </w:r>
      <w:hyperlink r:id="rId10" w:history="1">
        <w:r w:rsidRPr="00EC2A1D">
          <w:rPr>
            <w:color w:val="0000FF"/>
            <w:sz w:val="20"/>
            <w:szCs w:val="20"/>
            <w:u w:val="single"/>
            <w:lang w:val="" w:eastAsia="de-DE" w:bidi="en-US"/>
          </w:rPr>
          <w:t>10.3324/haematol.2010.026179</w:t>
        </w:r>
      </w:hyperlink>
      <w:r w:rsidRPr="00EC2A1D">
        <w:rPr>
          <w:color w:val="000000"/>
          <w:sz w:val="20"/>
          <w:szCs w:val="20"/>
          <w:lang w:val="" w:eastAsia="de-DE" w:bidi="en-US"/>
        </w:rPr>
        <w:t>.</w:t>
      </w:r>
    </w:p>
    <w:p w14:paraId="70CFAA46"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4. </w:t>
      </w:r>
      <w:r w:rsidRPr="00EC2A1D">
        <w:rPr>
          <w:color w:val="000000"/>
          <w:sz w:val="20"/>
          <w:szCs w:val="20"/>
          <w:lang w:val="" w:eastAsia="de-DE" w:bidi="en-US"/>
        </w:rPr>
        <w:tab/>
        <w:t xml:space="preserve">Suzuki, Y.; Kato, S.; Kohno, K.; Satou, A.; Eladl, A.E.; Asano, N.; Kono, M.; Kato, Y.; Taniwaki, M.; Akiyama, M.; et al. Clinicopathological Analysis of 46 Cases With CD4+ and/or CD56+ Immature Haematolymphoid Malignancy: Reappraisal of Blastic Plasmacytoid Dendritic Cell and Related Neoplasms. </w:t>
      </w:r>
      <w:r w:rsidRPr="00EC2A1D">
        <w:rPr>
          <w:i/>
          <w:color w:val="000000"/>
          <w:sz w:val="20"/>
          <w:szCs w:val="20"/>
          <w:lang w:val="" w:eastAsia="de-DE" w:bidi="en-US"/>
        </w:rPr>
        <w:t xml:space="preserve">Histopathology. </w:t>
      </w:r>
      <w:r w:rsidRPr="00EC2A1D">
        <w:rPr>
          <w:b/>
          <w:color w:val="000000"/>
          <w:sz w:val="20"/>
          <w:szCs w:val="20"/>
          <w:lang w:val="" w:eastAsia="de-DE" w:bidi="en-US"/>
        </w:rPr>
        <w:t>2017</w:t>
      </w:r>
      <w:r w:rsidRPr="00EC2A1D">
        <w:rPr>
          <w:color w:val="000000"/>
          <w:sz w:val="20"/>
          <w:szCs w:val="20"/>
          <w:lang w:val="" w:eastAsia="de-DE" w:bidi="en-US"/>
        </w:rPr>
        <w:t xml:space="preserve">, </w:t>
      </w:r>
      <w:r w:rsidRPr="00EC2A1D">
        <w:rPr>
          <w:i/>
          <w:color w:val="000000"/>
          <w:sz w:val="20"/>
          <w:szCs w:val="20"/>
          <w:lang w:val="" w:eastAsia="de-DE" w:bidi="en-US"/>
        </w:rPr>
        <w:t>71</w:t>
      </w:r>
      <w:r w:rsidRPr="00EC2A1D">
        <w:rPr>
          <w:color w:val="000000"/>
          <w:sz w:val="20"/>
          <w:szCs w:val="20"/>
          <w:lang w:val="" w:eastAsia="de-DE" w:bidi="en-US"/>
        </w:rPr>
        <w:t>, 972–984. DOI:</w:t>
      </w:r>
      <w:hyperlink r:id="rId11" w:history="1">
        <w:r w:rsidRPr="00EC2A1D">
          <w:rPr>
            <w:color w:val="0000FF"/>
            <w:sz w:val="20"/>
            <w:szCs w:val="20"/>
            <w:u w:val="single"/>
            <w:lang w:val="" w:eastAsia="de-DE" w:bidi="en-US"/>
          </w:rPr>
          <w:t>10.1111/his.13340</w:t>
        </w:r>
      </w:hyperlink>
      <w:r w:rsidRPr="00EC2A1D">
        <w:rPr>
          <w:color w:val="000000"/>
          <w:sz w:val="20"/>
          <w:szCs w:val="20"/>
          <w:lang w:val="" w:eastAsia="de-DE" w:bidi="en-US"/>
        </w:rPr>
        <w:t>.</w:t>
      </w:r>
    </w:p>
    <w:p w14:paraId="69C43E0E"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5. </w:t>
      </w:r>
      <w:r w:rsidRPr="00EC2A1D">
        <w:rPr>
          <w:color w:val="000000"/>
          <w:sz w:val="20"/>
          <w:szCs w:val="20"/>
          <w:lang w:val="" w:eastAsia="de-DE" w:bidi="en-US"/>
        </w:rPr>
        <w:tab/>
        <w:t>Pillon, M.;</w:t>
      </w:r>
      <w:r w:rsidRPr="00EC2A1D">
        <w:rPr>
          <w:color w:val="000000"/>
          <w:sz w:val="20"/>
          <w:szCs w:val="20"/>
          <w:vertAlign w:val="superscript"/>
          <w:lang w:val="" w:eastAsia="de-DE" w:bidi="en-US"/>
        </w:rPr>
        <w:t xml:space="preserve"> </w:t>
      </w:r>
      <w:r w:rsidRPr="00EC2A1D">
        <w:rPr>
          <w:color w:val="000000"/>
          <w:sz w:val="20"/>
          <w:szCs w:val="20"/>
          <w:lang w:val="" w:eastAsia="de-DE" w:bidi="en-US"/>
        </w:rPr>
        <w:t>Gregucci, F.; Lombardi, A.;</w:t>
      </w:r>
      <w:r w:rsidRPr="00EC2A1D">
        <w:rPr>
          <w:color w:val="000000"/>
          <w:sz w:val="20"/>
          <w:szCs w:val="20"/>
          <w:vertAlign w:val="superscript"/>
          <w:lang w:val="" w:eastAsia="de-DE" w:bidi="en-US"/>
        </w:rPr>
        <w:t xml:space="preserve"> </w:t>
      </w:r>
      <w:r w:rsidRPr="00EC2A1D">
        <w:rPr>
          <w:color w:val="000000"/>
          <w:sz w:val="20"/>
          <w:szCs w:val="20"/>
          <w:lang w:val="" w:eastAsia="de-DE" w:bidi="en-US"/>
        </w:rPr>
        <w:t>Santoro, N.;</w:t>
      </w:r>
      <w:r w:rsidRPr="00EC2A1D">
        <w:rPr>
          <w:color w:val="000000"/>
          <w:sz w:val="20"/>
          <w:szCs w:val="20"/>
          <w:vertAlign w:val="superscript"/>
          <w:lang w:val="" w:eastAsia="de-DE" w:bidi="en-US"/>
        </w:rPr>
        <w:t xml:space="preserve"> </w:t>
      </w:r>
      <w:r w:rsidRPr="00EC2A1D">
        <w:rPr>
          <w:color w:val="000000"/>
          <w:sz w:val="20"/>
          <w:szCs w:val="20"/>
          <w:lang w:val="" w:eastAsia="de-DE" w:bidi="en-US"/>
        </w:rPr>
        <w:t>Piglione, M.;</w:t>
      </w:r>
      <w:r w:rsidRPr="00EC2A1D">
        <w:rPr>
          <w:color w:val="000000"/>
          <w:sz w:val="20"/>
          <w:szCs w:val="20"/>
          <w:vertAlign w:val="superscript"/>
          <w:lang w:val="" w:eastAsia="de-DE" w:bidi="en-US"/>
        </w:rPr>
        <w:t xml:space="preserve"> </w:t>
      </w:r>
      <w:r w:rsidRPr="00EC2A1D">
        <w:rPr>
          <w:color w:val="000000"/>
          <w:sz w:val="20"/>
          <w:szCs w:val="20"/>
          <w:lang w:val="" w:eastAsia="de-DE" w:bidi="en-US"/>
        </w:rPr>
        <w:t>Sala, A.;</w:t>
      </w:r>
      <w:r w:rsidRPr="00EC2A1D">
        <w:rPr>
          <w:color w:val="000000"/>
          <w:sz w:val="20"/>
          <w:szCs w:val="20"/>
          <w:vertAlign w:val="superscript"/>
          <w:lang w:val="" w:eastAsia="de-DE" w:bidi="en-US"/>
        </w:rPr>
        <w:t xml:space="preserve"> </w:t>
      </w:r>
      <w:r w:rsidRPr="00EC2A1D">
        <w:rPr>
          <w:color w:val="000000"/>
          <w:sz w:val="20"/>
          <w:szCs w:val="20"/>
          <w:lang w:val="" w:eastAsia="de-DE" w:bidi="en-US"/>
        </w:rPr>
        <w:t>D’Amore, E.S.;</w:t>
      </w:r>
      <w:r w:rsidRPr="00EC2A1D">
        <w:rPr>
          <w:color w:val="000000"/>
          <w:sz w:val="20"/>
          <w:szCs w:val="20"/>
          <w:vertAlign w:val="superscript"/>
          <w:lang w:val="" w:eastAsia="de-DE" w:bidi="en-US"/>
        </w:rPr>
        <w:t xml:space="preserve"> </w:t>
      </w:r>
      <w:r w:rsidRPr="00EC2A1D">
        <w:rPr>
          <w:color w:val="000000"/>
          <w:sz w:val="20"/>
          <w:szCs w:val="20"/>
          <w:lang w:val="" w:eastAsia="de-DE" w:bidi="en-US"/>
        </w:rPr>
        <w:t>De Santis, R.;</w:t>
      </w:r>
      <w:r w:rsidRPr="00EC2A1D">
        <w:rPr>
          <w:color w:val="000000"/>
          <w:sz w:val="20"/>
          <w:szCs w:val="20"/>
          <w:vertAlign w:val="superscript"/>
          <w:lang w:val="" w:eastAsia="de-DE" w:bidi="en-US"/>
        </w:rPr>
        <w:t xml:space="preserve"> </w:t>
      </w:r>
      <w:r w:rsidRPr="00EC2A1D">
        <w:rPr>
          <w:color w:val="000000"/>
          <w:sz w:val="20"/>
          <w:szCs w:val="20"/>
          <w:lang w:val="" w:eastAsia="de-DE" w:bidi="en-US"/>
        </w:rPr>
        <w:t>Casale, F.;</w:t>
      </w:r>
      <w:r w:rsidRPr="00EC2A1D">
        <w:rPr>
          <w:color w:val="000000"/>
          <w:sz w:val="20"/>
          <w:szCs w:val="20"/>
          <w:vertAlign w:val="superscript"/>
          <w:lang w:val="" w:eastAsia="de-DE" w:bidi="en-US"/>
        </w:rPr>
        <w:t xml:space="preserve"> </w:t>
      </w:r>
      <w:r w:rsidRPr="00EC2A1D">
        <w:rPr>
          <w:color w:val="000000"/>
          <w:sz w:val="20"/>
          <w:szCs w:val="20"/>
          <w:lang w:val="" w:eastAsia="de-DE" w:bidi="en-US"/>
        </w:rPr>
        <w:t xml:space="preserve">Zecca, M.; et al. Results of AIEOP LNH-97 Protocol for the Treatment of Anaplastic Large Cell Lymphoma of Childhood. </w:t>
      </w:r>
      <w:r w:rsidRPr="00EC2A1D">
        <w:rPr>
          <w:i/>
          <w:color w:val="000000"/>
          <w:sz w:val="20"/>
          <w:szCs w:val="20"/>
          <w:lang w:val="" w:eastAsia="de-DE" w:bidi="en-US"/>
        </w:rPr>
        <w:t xml:space="preserve">Pediatr. Blood Cancer. </w:t>
      </w:r>
      <w:r w:rsidRPr="00EC2A1D">
        <w:rPr>
          <w:b/>
          <w:color w:val="000000"/>
          <w:sz w:val="20"/>
          <w:szCs w:val="20"/>
          <w:lang w:val="" w:eastAsia="de-DE" w:bidi="en-US"/>
        </w:rPr>
        <w:t>2012</w:t>
      </w:r>
      <w:r w:rsidRPr="00EC2A1D">
        <w:rPr>
          <w:color w:val="000000"/>
          <w:sz w:val="20"/>
          <w:szCs w:val="20"/>
          <w:lang w:val="" w:eastAsia="de-DE" w:bidi="en-US"/>
        </w:rPr>
        <w:t xml:space="preserve">, </w:t>
      </w:r>
      <w:r w:rsidRPr="00EC2A1D">
        <w:rPr>
          <w:i/>
          <w:color w:val="000000"/>
          <w:sz w:val="20"/>
          <w:szCs w:val="20"/>
          <w:lang w:val="" w:eastAsia="de-DE" w:bidi="en-US"/>
        </w:rPr>
        <w:t>59</w:t>
      </w:r>
      <w:r w:rsidRPr="00EC2A1D">
        <w:rPr>
          <w:color w:val="000000"/>
          <w:sz w:val="20"/>
          <w:szCs w:val="20"/>
          <w:lang w:val="" w:eastAsia="de-DE" w:bidi="en-US"/>
        </w:rPr>
        <w:t>, 828–833. DOI:</w:t>
      </w:r>
      <w:hyperlink r:id="rId12" w:history="1">
        <w:r w:rsidRPr="00EC2A1D">
          <w:rPr>
            <w:color w:val="0000FF"/>
            <w:sz w:val="20"/>
            <w:szCs w:val="20"/>
            <w:u w:val="single"/>
            <w:lang w:val="" w:eastAsia="de-DE" w:bidi="en-US"/>
          </w:rPr>
          <w:t>10.1002/pbc.24125</w:t>
        </w:r>
      </w:hyperlink>
      <w:r w:rsidRPr="00EC2A1D">
        <w:rPr>
          <w:color w:val="000000"/>
          <w:sz w:val="20"/>
          <w:szCs w:val="20"/>
          <w:lang w:val="" w:eastAsia="de-DE" w:bidi="en-US"/>
        </w:rPr>
        <w:t>.</w:t>
      </w:r>
    </w:p>
    <w:p w14:paraId="288D9E64"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6. </w:t>
      </w:r>
      <w:r w:rsidRPr="00EC2A1D">
        <w:rPr>
          <w:color w:val="000000"/>
          <w:sz w:val="20"/>
          <w:szCs w:val="20"/>
          <w:lang w:val="" w:eastAsia="de-DE" w:bidi="en-US"/>
        </w:rPr>
        <w:tab/>
        <w:t xml:space="preserve">Borowitz, M.J.; Chan, J.K.C.; Downing, J.R.; </w:t>
      </w:r>
      <w:r w:rsidRPr="00EC2A1D">
        <w:rPr>
          <w:color w:val="000000"/>
          <w:sz w:val="20"/>
          <w:szCs w:val="20"/>
          <w:lang w:val="en-US" w:eastAsia="de-DE"/>
        </w:rPr>
        <w:t>Le Beau M.M.; Arber D.A.</w:t>
      </w:r>
      <w:r w:rsidRPr="00EC2A1D">
        <w:rPr>
          <w:color w:val="000000"/>
          <w:sz w:val="20"/>
          <w:szCs w:val="20"/>
          <w:lang w:val="" w:eastAsia="de-DE" w:bidi="en-US"/>
        </w:rPr>
        <w:t xml:space="preserve"> B-Lymphoblastic Leukaemia/Lymphoma, Not Otherwise Specified (NOS). In </w:t>
      </w:r>
      <w:r w:rsidRPr="00EC2A1D">
        <w:rPr>
          <w:color w:val="000000"/>
          <w:sz w:val="20"/>
          <w:szCs w:val="20"/>
          <w:lang w:val="" w:eastAsia="de-DE"/>
        </w:rPr>
        <w:t xml:space="preserve">Swerdlow, S.H., Campo, E., Harris, N.L., Jaffe, E.S., Pileri, S.A., Stein, H., Thiele, J., (ed.) </w:t>
      </w:r>
      <w:r w:rsidRPr="00EC2A1D">
        <w:rPr>
          <w:i/>
          <w:color w:val="000000"/>
          <w:sz w:val="20"/>
          <w:szCs w:val="20"/>
          <w:lang w:val="" w:eastAsia="de-DE" w:bidi="en-US"/>
        </w:rPr>
        <w:t xml:space="preserve">WHO Classification of Tumours of Haematopoietic and Lymphoid Tissues. </w:t>
      </w:r>
      <w:r w:rsidRPr="00EC2A1D">
        <w:rPr>
          <w:color w:val="000000"/>
          <w:sz w:val="20"/>
          <w:szCs w:val="20"/>
          <w:lang w:val="" w:eastAsia="de-DE" w:bidi="en-US"/>
        </w:rPr>
        <w:t xml:space="preserve">revised 4th ed. Lyon, France: </w:t>
      </w:r>
      <w:r w:rsidRPr="00EC2A1D">
        <w:rPr>
          <w:color w:val="000000"/>
          <w:sz w:val="20"/>
          <w:szCs w:val="20"/>
          <w:lang w:val="" w:eastAsia="de-DE"/>
        </w:rPr>
        <w:t>IARC</w:t>
      </w:r>
      <w:r w:rsidRPr="00EC2A1D">
        <w:rPr>
          <w:color w:val="000000"/>
          <w:sz w:val="20"/>
          <w:szCs w:val="20"/>
          <w:lang w:val="" w:eastAsia="de-DE" w:bidi="en-US"/>
        </w:rPr>
        <w:t>; 2017:200–202.</w:t>
      </w:r>
    </w:p>
    <w:p w14:paraId="5C022D1B"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7. </w:t>
      </w:r>
      <w:r w:rsidRPr="00EC2A1D">
        <w:rPr>
          <w:color w:val="000000"/>
          <w:sz w:val="20"/>
          <w:szCs w:val="20"/>
          <w:lang w:val="" w:eastAsia="de-DE" w:bidi="en-US"/>
        </w:rPr>
        <w:tab/>
        <w:t xml:space="preserve">Chu, C.; Rudnick, E.W.; Motaparthi, K. Blastic Plasmacytoid Dendritic Cell Neoplasm With Centrocyte-Like Morphology Clinically Simulating a Melanocytic Nevus. </w:t>
      </w:r>
      <w:r w:rsidRPr="00EC2A1D">
        <w:rPr>
          <w:i/>
          <w:color w:val="000000"/>
          <w:sz w:val="20"/>
          <w:szCs w:val="20"/>
          <w:lang w:val="" w:eastAsia="de-DE" w:bidi="en-US"/>
        </w:rPr>
        <w:t>J. Cutan. Pathol.</w:t>
      </w:r>
      <w:r w:rsidRPr="00EC2A1D">
        <w:rPr>
          <w:color w:val="000000"/>
          <w:sz w:val="20"/>
          <w:szCs w:val="20"/>
          <w:lang w:val="" w:eastAsia="de-DE" w:bidi="en-US"/>
        </w:rPr>
        <w:t xml:space="preserve"> </w:t>
      </w:r>
      <w:r w:rsidRPr="00EC2A1D">
        <w:rPr>
          <w:b/>
          <w:color w:val="000000"/>
          <w:sz w:val="20"/>
          <w:szCs w:val="20"/>
          <w:lang w:val="" w:eastAsia="de-DE" w:bidi="en-US"/>
        </w:rPr>
        <w:t>2018</w:t>
      </w:r>
      <w:r w:rsidRPr="00EC2A1D">
        <w:rPr>
          <w:color w:val="000000"/>
          <w:sz w:val="20"/>
          <w:szCs w:val="20"/>
          <w:lang w:val="" w:eastAsia="de-DE" w:bidi="en-US"/>
        </w:rPr>
        <w:t xml:space="preserve">, </w:t>
      </w:r>
      <w:r w:rsidRPr="00EC2A1D">
        <w:rPr>
          <w:i/>
          <w:color w:val="000000"/>
          <w:sz w:val="20"/>
          <w:szCs w:val="20"/>
          <w:lang w:val="" w:eastAsia="de-DE" w:bidi="en-US"/>
        </w:rPr>
        <w:t>45</w:t>
      </w:r>
      <w:r w:rsidRPr="00EC2A1D">
        <w:rPr>
          <w:color w:val="000000"/>
          <w:sz w:val="20"/>
          <w:szCs w:val="20"/>
          <w:lang w:val="" w:eastAsia="de-DE" w:bidi="en-US"/>
        </w:rPr>
        <w:t>, 249–253. DOI:</w:t>
      </w:r>
      <w:hyperlink r:id="rId13" w:history="1">
        <w:r w:rsidRPr="00EC2A1D">
          <w:rPr>
            <w:color w:val="0000FF"/>
            <w:sz w:val="20"/>
            <w:szCs w:val="20"/>
            <w:u w:val="single"/>
            <w:lang w:val="" w:eastAsia="de-DE" w:bidi="en-US"/>
          </w:rPr>
          <w:t>10.1111/cup.13099</w:t>
        </w:r>
      </w:hyperlink>
      <w:r w:rsidRPr="00EC2A1D">
        <w:rPr>
          <w:color w:val="000000"/>
          <w:sz w:val="20"/>
          <w:szCs w:val="20"/>
          <w:lang w:val="" w:eastAsia="de-DE" w:bidi="en-US"/>
        </w:rPr>
        <w:t>.</w:t>
      </w:r>
    </w:p>
    <w:p w14:paraId="5A894949"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8. </w:t>
      </w:r>
      <w:r w:rsidRPr="00EC2A1D">
        <w:rPr>
          <w:color w:val="000000"/>
          <w:sz w:val="20"/>
          <w:szCs w:val="20"/>
          <w:lang w:val="" w:eastAsia="de-DE" w:bidi="en-US"/>
        </w:rPr>
        <w:tab/>
        <w:t xml:space="preserve">Sukswai, N.; Aung, P.P.; Yin, C.C.; Li, S.; Wang, W.; Wang, S.A.; Ortega, V.; Lyapichev, K.; Nagarajan, P.; Alfattal, R.; et al. Dual Expression of TCF4 and CD123 Is Highly Sensitive and Specific for Blastic Plasmacytoid Dendritic Cell Neoplasm. </w:t>
      </w:r>
      <w:r w:rsidRPr="00EC2A1D">
        <w:rPr>
          <w:i/>
          <w:color w:val="000000"/>
          <w:sz w:val="20"/>
          <w:szCs w:val="20"/>
          <w:lang w:val="" w:eastAsia="de-DE" w:bidi="en-US"/>
        </w:rPr>
        <w:t>Am. J. Surg. Pathol.</w:t>
      </w:r>
      <w:r w:rsidRPr="00EC2A1D">
        <w:rPr>
          <w:color w:val="000000"/>
          <w:sz w:val="20"/>
          <w:szCs w:val="20"/>
          <w:lang w:val="" w:eastAsia="de-DE" w:bidi="en-US"/>
        </w:rPr>
        <w:t xml:space="preserve"> </w:t>
      </w:r>
      <w:r w:rsidRPr="00EC2A1D">
        <w:rPr>
          <w:b/>
          <w:color w:val="000000"/>
          <w:sz w:val="20"/>
          <w:szCs w:val="20"/>
          <w:lang w:val="" w:eastAsia="de-DE" w:bidi="en-US"/>
        </w:rPr>
        <w:t>2019</w:t>
      </w:r>
      <w:r w:rsidRPr="00EC2A1D">
        <w:rPr>
          <w:color w:val="000000"/>
          <w:sz w:val="20"/>
          <w:szCs w:val="20"/>
          <w:lang w:val="" w:eastAsia="de-DE" w:bidi="en-US"/>
        </w:rPr>
        <w:t xml:space="preserve">, </w:t>
      </w:r>
      <w:r w:rsidRPr="00EC2A1D">
        <w:rPr>
          <w:i/>
          <w:color w:val="000000"/>
          <w:sz w:val="20"/>
          <w:szCs w:val="20"/>
          <w:lang w:val="" w:eastAsia="de-DE" w:bidi="en-US"/>
        </w:rPr>
        <w:t>43</w:t>
      </w:r>
      <w:r w:rsidRPr="00EC2A1D">
        <w:rPr>
          <w:color w:val="000000"/>
          <w:sz w:val="20"/>
          <w:szCs w:val="20"/>
          <w:lang w:val="" w:eastAsia="de-DE" w:bidi="en-US"/>
        </w:rPr>
        <w:t>, 1429–1437. DOI:</w:t>
      </w:r>
      <w:hyperlink r:id="rId14" w:history="1">
        <w:r w:rsidRPr="00EC2A1D">
          <w:rPr>
            <w:color w:val="0000FF"/>
            <w:sz w:val="20"/>
            <w:szCs w:val="20"/>
            <w:u w:val="single"/>
            <w:lang w:val="" w:eastAsia="de-DE" w:bidi="en-US"/>
          </w:rPr>
          <w:t>10.1097/PAS.0000000000001316</w:t>
        </w:r>
      </w:hyperlink>
      <w:r w:rsidRPr="00EC2A1D">
        <w:rPr>
          <w:color w:val="000000"/>
          <w:sz w:val="20"/>
          <w:szCs w:val="20"/>
          <w:lang w:val="" w:eastAsia="de-DE" w:bidi="en-US"/>
        </w:rPr>
        <w:t>.</w:t>
      </w:r>
    </w:p>
    <w:p w14:paraId="5FCD659C"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9. </w:t>
      </w:r>
      <w:r w:rsidRPr="00EC2A1D">
        <w:rPr>
          <w:color w:val="000000"/>
          <w:sz w:val="20"/>
          <w:szCs w:val="20"/>
          <w:lang w:val="" w:eastAsia="de-DE" w:bidi="en-US"/>
        </w:rPr>
        <w:tab/>
        <w:t xml:space="preserve">Fujii, K.; Hamada, T.; Shimauchi, T.; Asai, J.; Fujisawa, Y.; Ihn, H.; Katoh, N. Cutaneous Lymphoma in Japan, 2012–2017: A Nationwide Study. </w:t>
      </w:r>
      <w:r w:rsidRPr="00EC2A1D">
        <w:rPr>
          <w:i/>
          <w:color w:val="000000"/>
          <w:sz w:val="20"/>
          <w:szCs w:val="20"/>
          <w:lang w:val="" w:eastAsia="de-DE" w:bidi="en-US"/>
        </w:rPr>
        <w:t>J. Dermatol. Sci.</w:t>
      </w:r>
      <w:r w:rsidRPr="00EC2A1D">
        <w:rPr>
          <w:color w:val="000000"/>
          <w:sz w:val="20"/>
          <w:szCs w:val="20"/>
          <w:lang w:val="" w:eastAsia="de-DE" w:bidi="en-US"/>
        </w:rPr>
        <w:t xml:space="preserve"> </w:t>
      </w:r>
      <w:r w:rsidRPr="00EC2A1D">
        <w:rPr>
          <w:b/>
          <w:color w:val="000000"/>
          <w:sz w:val="20"/>
          <w:szCs w:val="20"/>
          <w:lang w:val="" w:eastAsia="de-DE" w:bidi="en-US"/>
        </w:rPr>
        <w:t>2020</w:t>
      </w:r>
      <w:r w:rsidRPr="00EC2A1D">
        <w:rPr>
          <w:color w:val="000000"/>
          <w:sz w:val="20"/>
          <w:szCs w:val="20"/>
          <w:lang w:val="" w:eastAsia="de-DE" w:bidi="en-US"/>
        </w:rPr>
        <w:t xml:space="preserve">, </w:t>
      </w:r>
      <w:r w:rsidRPr="00EC2A1D">
        <w:rPr>
          <w:i/>
          <w:color w:val="000000"/>
          <w:sz w:val="20"/>
          <w:szCs w:val="20"/>
          <w:lang w:val="" w:eastAsia="de-DE" w:bidi="en-US"/>
        </w:rPr>
        <w:t>97</w:t>
      </w:r>
      <w:r w:rsidRPr="00EC2A1D">
        <w:rPr>
          <w:color w:val="000000"/>
          <w:sz w:val="20"/>
          <w:szCs w:val="20"/>
          <w:lang w:val="" w:eastAsia="de-DE" w:bidi="en-US"/>
        </w:rPr>
        <w:t>, 187–193. DOI:</w:t>
      </w:r>
      <w:hyperlink r:id="rId15" w:history="1">
        <w:r w:rsidRPr="00EC2A1D">
          <w:rPr>
            <w:color w:val="0000FF"/>
            <w:sz w:val="20"/>
            <w:szCs w:val="20"/>
            <w:u w:val="single"/>
            <w:lang w:val="" w:eastAsia="de-DE" w:bidi="en-US"/>
          </w:rPr>
          <w:t>10.1016/j.jdermsci.2020.01.010</w:t>
        </w:r>
      </w:hyperlink>
      <w:r w:rsidRPr="00EC2A1D">
        <w:rPr>
          <w:color w:val="000000"/>
          <w:sz w:val="20"/>
          <w:szCs w:val="20"/>
          <w:lang w:val="" w:eastAsia="de-DE" w:bidi="en-US"/>
        </w:rPr>
        <w:t>.</w:t>
      </w:r>
    </w:p>
    <w:p w14:paraId="65C007AF"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lastRenderedPageBreak/>
        <w:t>10.</w:t>
      </w:r>
      <w:r w:rsidRPr="00EC2A1D">
        <w:rPr>
          <w:color w:val="000000"/>
          <w:sz w:val="20"/>
          <w:szCs w:val="20"/>
          <w:lang w:val="" w:eastAsia="de-DE" w:bidi="en-US"/>
        </w:rPr>
        <w:tab/>
        <w:t>Liao, C.; Hu, N. X.; Song, H.; Zhang, J. Y.; Shen, D. Y.; Xu, X. J.; Tang, Y.M. Pediatric blastic plasmacytoid dendritic cell neoplasm: report of four cases and review of literature. International Journal of Hematology,2021, 113, 751-759. DOI:10.1007/s12185-020-03070-x</w:t>
      </w:r>
    </w:p>
    <w:p w14:paraId="12F3A1A3"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r w:rsidRPr="00EC2A1D">
        <w:rPr>
          <w:color w:val="000000"/>
          <w:sz w:val="20"/>
          <w:szCs w:val="20"/>
          <w:lang w:val="" w:eastAsia="de-DE" w:bidi="en-US"/>
        </w:rPr>
        <w:t xml:space="preserve">11. </w:t>
      </w:r>
      <w:r w:rsidRPr="00EC2A1D">
        <w:rPr>
          <w:color w:val="000000"/>
          <w:sz w:val="20"/>
          <w:szCs w:val="20"/>
          <w:lang w:val="" w:eastAsia="de-DE" w:bidi="en-US"/>
        </w:rPr>
        <w:tab/>
        <w:t xml:space="preserve">Li, Y.; Sun, V.; Sun, W.; Pawlowska, A. Blastic Plasmacytoid Dendritic Cell Neoplasm in Children. </w:t>
      </w:r>
      <w:r w:rsidRPr="00EC2A1D">
        <w:rPr>
          <w:i/>
          <w:color w:val="000000"/>
          <w:sz w:val="20"/>
          <w:szCs w:val="20"/>
          <w:lang w:val="" w:eastAsia="de-DE" w:bidi="en-US"/>
        </w:rPr>
        <w:t>Hematol. Oncol. Clin. North Am.</w:t>
      </w:r>
      <w:r w:rsidRPr="00EC2A1D">
        <w:rPr>
          <w:color w:val="000000"/>
          <w:sz w:val="20"/>
          <w:szCs w:val="20"/>
          <w:lang w:val="" w:eastAsia="de-DE" w:bidi="en-US"/>
        </w:rPr>
        <w:t xml:space="preserve"> </w:t>
      </w:r>
      <w:r w:rsidRPr="00EC2A1D">
        <w:rPr>
          <w:b/>
          <w:color w:val="000000"/>
          <w:sz w:val="20"/>
          <w:szCs w:val="20"/>
          <w:lang w:val="" w:eastAsia="de-DE" w:bidi="en-US"/>
        </w:rPr>
        <w:t>2020</w:t>
      </w:r>
      <w:r w:rsidRPr="00EC2A1D">
        <w:rPr>
          <w:color w:val="000000"/>
          <w:sz w:val="20"/>
          <w:szCs w:val="20"/>
          <w:lang w:val="" w:eastAsia="de-DE" w:bidi="en-US"/>
        </w:rPr>
        <w:t xml:space="preserve">, </w:t>
      </w:r>
      <w:r w:rsidRPr="00EC2A1D">
        <w:rPr>
          <w:i/>
          <w:color w:val="000000"/>
          <w:sz w:val="20"/>
          <w:szCs w:val="20"/>
          <w:lang w:val="" w:eastAsia="de-DE" w:bidi="en-US"/>
        </w:rPr>
        <w:t>34</w:t>
      </w:r>
      <w:r w:rsidRPr="00EC2A1D">
        <w:rPr>
          <w:color w:val="000000"/>
          <w:sz w:val="20"/>
          <w:szCs w:val="20"/>
          <w:lang w:val="" w:eastAsia="de-DE" w:bidi="en-US"/>
        </w:rPr>
        <w:t>, 601–612. DOI:</w:t>
      </w:r>
      <w:hyperlink r:id="rId16" w:history="1">
        <w:r w:rsidRPr="00EC2A1D">
          <w:rPr>
            <w:color w:val="0000FF"/>
            <w:sz w:val="20"/>
            <w:szCs w:val="20"/>
            <w:u w:val="single"/>
            <w:lang w:val="" w:eastAsia="de-DE" w:bidi="en-US"/>
          </w:rPr>
          <w:t>10.1016/j.hoc.2020.01.008</w:t>
        </w:r>
      </w:hyperlink>
      <w:r w:rsidRPr="00EC2A1D">
        <w:rPr>
          <w:color w:val="000000"/>
          <w:sz w:val="20"/>
          <w:szCs w:val="20"/>
          <w:lang w:val="" w:eastAsia="de-DE" w:bidi="en-US"/>
        </w:rPr>
        <w:t>.</w:t>
      </w:r>
    </w:p>
    <w:p w14:paraId="278CB49F" w14:textId="77777777" w:rsidR="00A76779" w:rsidRPr="00EC2A1D" w:rsidRDefault="00A76779" w:rsidP="00A76779">
      <w:pPr>
        <w:adjustRightInd w:val="0"/>
        <w:snapToGrid w:val="0"/>
        <w:spacing w:line="228" w:lineRule="auto"/>
        <w:ind w:left="850" w:hanging="425"/>
        <w:jc w:val="both"/>
        <w:rPr>
          <w:color w:val="000000"/>
          <w:sz w:val="20"/>
          <w:szCs w:val="20"/>
          <w:lang w:val="" w:eastAsia="de-DE" w:bidi="en-US"/>
        </w:rPr>
      </w:pPr>
    </w:p>
    <w:p w14:paraId="790324F7" w14:textId="77777777" w:rsidR="00A76779" w:rsidRPr="00321C17" w:rsidRDefault="00A76779" w:rsidP="00AC3BCD">
      <w:pPr>
        <w:autoSpaceDE w:val="0"/>
        <w:autoSpaceDN w:val="0"/>
        <w:adjustRightInd w:val="0"/>
        <w:rPr>
          <w:lang w:val="en-NZ"/>
        </w:rPr>
      </w:pPr>
    </w:p>
    <w:p w14:paraId="2FEC87DE" w14:textId="77777777" w:rsidR="00883526" w:rsidRPr="00EC2A1D" w:rsidRDefault="00883526" w:rsidP="00883526">
      <w:pPr>
        <w:jc w:val="both"/>
        <w:rPr>
          <w:b/>
        </w:rPr>
      </w:pPr>
      <w:r w:rsidRPr="00EC2A1D">
        <w:rPr>
          <w:b/>
        </w:rPr>
        <w:t>Biography</w:t>
      </w:r>
    </w:p>
    <w:p w14:paraId="20251423" w14:textId="77777777" w:rsidR="00883526" w:rsidRPr="00EC2A1D" w:rsidRDefault="00883526" w:rsidP="00883526">
      <w:pPr>
        <w:jc w:val="both"/>
        <w:rPr>
          <w:b/>
          <w:sz w:val="20"/>
          <w:szCs w:val="20"/>
        </w:rPr>
      </w:pPr>
    </w:p>
    <w:p w14:paraId="498236F1" w14:textId="77777777" w:rsidR="00883526" w:rsidRPr="00883526" w:rsidRDefault="00883526" w:rsidP="00883526">
      <w:pPr>
        <w:jc w:val="both"/>
        <w:rPr>
          <w:sz w:val="20"/>
          <w:szCs w:val="20"/>
        </w:rPr>
      </w:pPr>
      <w:r w:rsidRPr="00883526">
        <w:rPr>
          <w:sz w:val="20"/>
          <w:szCs w:val="20"/>
        </w:rPr>
        <w:t>Dr. Phanitchanat Phusuphitchayanan graduated doctor of medicine program with second-class honors at the Faculty of Medicine Chulalongkorn University, Thailand, in the class of 2014. She completed the Research Fellow in Dermatology program at Ramathibodi Hospital, Thailand. After that she finished clinical fellowship in the dermatology program and is currently attending the fourth residency in the Dermatology program at the Institute of Dermatology, Thailand. Her principal research interests include clinical dermatology, dermatopathology, photodermatology, and skin cancers. She has many publications and oral presenting experience.</w:t>
      </w:r>
    </w:p>
    <w:p w14:paraId="2382862E" w14:textId="77777777" w:rsidR="00883526" w:rsidRPr="00EC2A1D" w:rsidRDefault="00883526" w:rsidP="00883526">
      <w:pPr>
        <w:autoSpaceDE w:val="0"/>
        <w:autoSpaceDN w:val="0"/>
        <w:adjustRightInd w:val="0"/>
        <w:rPr>
          <w:sz w:val="20"/>
          <w:szCs w:val="20"/>
          <w:lang w:val="en-NZ"/>
        </w:rPr>
      </w:pPr>
    </w:p>
    <w:p w14:paraId="3D1CC139" w14:textId="77777777" w:rsidR="00C65F09" w:rsidRPr="00321C17" w:rsidRDefault="00C65F09" w:rsidP="00AC3BCD">
      <w:pPr>
        <w:autoSpaceDE w:val="0"/>
        <w:autoSpaceDN w:val="0"/>
        <w:adjustRightInd w:val="0"/>
        <w:rPr>
          <w:lang w:val="en-NZ"/>
        </w:rPr>
      </w:pPr>
    </w:p>
    <w:p w14:paraId="132D793B" w14:textId="17182187" w:rsidR="00A76779" w:rsidRPr="00321C17" w:rsidRDefault="00A76779" w:rsidP="00A76779">
      <w:pPr>
        <w:autoSpaceDE w:val="0"/>
        <w:autoSpaceDN w:val="0"/>
        <w:adjustRightInd w:val="0"/>
        <w:rPr>
          <w:lang w:val="en-NZ"/>
        </w:rPr>
      </w:pPr>
    </w:p>
    <w:p w14:paraId="62C0644A" w14:textId="7C92D07C" w:rsidR="00AC3BCD" w:rsidRPr="00321C17" w:rsidRDefault="00AC3BCD" w:rsidP="00C65F09">
      <w:pPr>
        <w:autoSpaceDE w:val="0"/>
        <w:autoSpaceDN w:val="0"/>
        <w:adjustRightInd w:val="0"/>
        <w:rPr>
          <w:lang w:val="en-NZ"/>
        </w:rPr>
      </w:pPr>
    </w:p>
    <w:p w14:paraId="09D44433" w14:textId="77777777" w:rsidR="00AD6315" w:rsidRPr="00321C17" w:rsidRDefault="00AD6315" w:rsidP="00AC3BCD">
      <w:pPr>
        <w:autoSpaceDE w:val="0"/>
        <w:autoSpaceDN w:val="0"/>
        <w:adjustRightInd w:val="0"/>
        <w:rPr>
          <w:lang w:val="en-NZ"/>
        </w:rPr>
      </w:pPr>
    </w:p>
    <w:p w14:paraId="2F491FC9" w14:textId="77777777" w:rsidR="00AD6315" w:rsidRPr="00321C17" w:rsidRDefault="00AD6315" w:rsidP="00AC3BCD">
      <w:pPr>
        <w:autoSpaceDE w:val="0"/>
        <w:autoSpaceDN w:val="0"/>
        <w:adjustRightInd w:val="0"/>
        <w:rPr>
          <w:lang w:val="en-NZ"/>
        </w:rPr>
      </w:pPr>
    </w:p>
    <w:p w14:paraId="235531E5" w14:textId="77777777" w:rsidR="00AD6315" w:rsidRPr="00321C17" w:rsidRDefault="00AD6315" w:rsidP="00AC3BCD">
      <w:pPr>
        <w:autoSpaceDE w:val="0"/>
        <w:autoSpaceDN w:val="0"/>
        <w:adjustRightInd w:val="0"/>
        <w:rPr>
          <w:lang w:val="en-NZ"/>
        </w:rPr>
      </w:pPr>
    </w:p>
    <w:p w14:paraId="1667E9CC" w14:textId="77777777" w:rsidR="00AD6315" w:rsidRPr="00321C17" w:rsidRDefault="00AD6315" w:rsidP="00AC3BCD">
      <w:pPr>
        <w:autoSpaceDE w:val="0"/>
        <w:autoSpaceDN w:val="0"/>
        <w:adjustRightInd w:val="0"/>
        <w:rPr>
          <w:lang w:val="en-NZ"/>
        </w:rPr>
      </w:pPr>
    </w:p>
    <w:p w14:paraId="2B80F527" w14:textId="77777777" w:rsidR="00AD6315" w:rsidRPr="00321C17" w:rsidRDefault="00AD6315" w:rsidP="00AC3BCD">
      <w:pPr>
        <w:autoSpaceDE w:val="0"/>
        <w:autoSpaceDN w:val="0"/>
        <w:adjustRightInd w:val="0"/>
        <w:rPr>
          <w:lang w:val="en-NZ"/>
        </w:rPr>
      </w:pPr>
    </w:p>
    <w:p w14:paraId="0D499BEF" w14:textId="77777777" w:rsidR="00AD6315" w:rsidRPr="00321C17" w:rsidRDefault="00AD6315" w:rsidP="00AC3BCD">
      <w:pPr>
        <w:autoSpaceDE w:val="0"/>
        <w:autoSpaceDN w:val="0"/>
        <w:adjustRightInd w:val="0"/>
        <w:rPr>
          <w:lang w:val="en-NZ"/>
        </w:rPr>
      </w:pPr>
    </w:p>
    <w:p w14:paraId="5BEFCD3B" w14:textId="77777777" w:rsidR="00AC3BCD" w:rsidRPr="00321C17" w:rsidRDefault="00AC3BCD" w:rsidP="00072E30">
      <w:pPr>
        <w:jc w:val="both"/>
        <w:rPr>
          <w:lang w:val="en-NZ"/>
        </w:rPr>
      </w:pPr>
    </w:p>
    <w:sectPr w:rsidR="00AC3BCD" w:rsidRPr="00321C17" w:rsidSect="001F414A">
      <w:headerReference w:type="even" r:id="rId17"/>
      <w:headerReference w:type="default" r:id="rId18"/>
      <w:footerReference w:type="even" r:id="rId19"/>
      <w:footerReference w:type="default" r:id="rId20"/>
      <w:headerReference w:type="first" r:id="rId21"/>
      <w:footerReference w:type="first" r:id="rId2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FD3BF" w14:textId="77777777" w:rsidR="00E63DBD" w:rsidRDefault="00E63DBD" w:rsidP="00671A59">
      <w:r>
        <w:separator/>
      </w:r>
    </w:p>
  </w:endnote>
  <w:endnote w:type="continuationSeparator" w:id="0">
    <w:p w14:paraId="54958736" w14:textId="77777777" w:rsidR="00E63DBD" w:rsidRDefault="00E63DB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73FD4"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5FB76"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F4D9A"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0226A" w14:textId="77777777" w:rsidR="00E63DBD" w:rsidRDefault="00E63DBD" w:rsidP="00671A59">
      <w:r>
        <w:separator/>
      </w:r>
    </w:p>
  </w:footnote>
  <w:footnote w:type="continuationSeparator" w:id="0">
    <w:p w14:paraId="410CE5BF" w14:textId="77777777" w:rsidR="00E63DBD" w:rsidRDefault="00E63DB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45387"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31663"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46004"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DC163BE"/>
    <w:multiLevelType w:val="hybridMultilevel"/>
    <w:tmpl w:val="B29A6F58"/>
    <w:lvl w:ilvl="0" w:tplc="2520C146">
      <w:start w:val="1"/>
      <w:numFmt w:val="decimal"/>
      <w:lvlRestart w:val="0"/>
      <w:pStyle w:val="MDPI71References"/>
      <w:lvlText w:val="%1."/>
      <w:lvlJc w:val="left"/>
      <w:pPr>
        <w:ind w:left="850" w:hanging="425"/>
      </w:pPr>
      <w:rPr>
        <w:rFonts w:ascii="Palatino Linotype" w:eastAsia="Times New Roman" w:hAnsi="Palatino Linotype" w:cs="Times New Roman"/>
        <w:b w:val="0"/>
        <w:i w:val="0"/>
        <w:sz w:val="20"/>
        <w:vertAlign w:val="baseline"/>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32B58"/>
    <w:rsid w:val="00041FEB"/>
    <w:rsid w:val="000711A3"/>
    <w:rsid w:val="00072E30"/>
    <w:rsid w:val="00085B88"/>
    <w:rsid w:val="00090564"/>
    <w:rsid w:val="00097CA5"/>
    <w:rsid w:val="000A4C72"/>
    <w:rsid w:val="000B40CB"/>
    <w:rsid w:val="000E7A02"/>
    <w:rsid w:val="000F5A8C"/>
    <w:rsid w:val="00101A04"/>
    <w:rsid w:val="00106952"/>
    <w:rsid w:val="001216E5"/>
    <w:rsid w:val="00127F52"/>
    <w:rsid w:val="0013563F"/>
    <w:rsid w:val="001416DB"/>
    <w:rsid w:val="00145878"/>
    <w:rsid w:val="00174A53"/>
    <w:rsid w:val="001801BB"/>
    <w:rsid w:val="001940D4"/>
    <w:rsid w:val="001A411C"/>
    <w:rsid w:val="001B1336"/>
    <w:rsid w:val="001B6DE6"/>
    <w:rsid w:val="001F414A"/>
    <w:rsid w:val="00205354"/>
    <w:rsid w:val="002374B5"/>
    <w:rsid w:val="00260B11"/>
    <w:rsid w:val="002659F1"/>
    <w:rsid w:val="00270EC9"/>
    <w:rsid w:val="00292DC0"/>
    <w:rsid w:val="002B18D5"/>
    <w:rsid w:val="002C0F2B"/>
    <w:rsid w:val="00321C17"/>
    <w:rsid w:val="0034567C"/>
    <w:rsid w:val="003717C0"/>
    <w:rsid w:val="003753DD"/>
    <w:rsid w:val="00383C3E"/>
    <w:rsid w:val="003A4429"/>
    <w:rsid w:val="003E04AA"/>
    <w:rsid w:val="00407F8E"/>
    <w:rsid w:val="00412799"/>
    <w:rsid w:val="004775E3"/>
    <w:rsid w:val="00490573"/>
    <w:rsid w:val="0049217F"/>
    <w:rsid w:val="004A262E"/>
    <w:rsid w:val="004A2CA1"/>
    <w:rsid w:val="004B3B30"/>
    <w:rsid w:val="005023F2"/>
    <w:rsid w:val="00505DA1"/>
    <w:rsid w:val="005408D9"/>
    <w:rsid w:val="00555DAD"/>
    <w:rsid w:val="005656D8"/>
    <w:rsid w:val="005663CD"/>
    <w:rsid w:val="005A3AA5"/>
    <w:rsid w:val="005B168A"/>
    <w:rsid w:val="005B3C85"/>
    <w:rsid w:val="005C2EA1"/>
    <w:rsid w:val="005C3848"/>
    <w:rsid w:val="005D43ED"/>
    <w:rsid w:val="005E013D"/>
    <w:rsid w:val="005F4B93"/>
    <w:rsid w:val="00605142"/>
    <w:rsid w:val="00612C13"/>
    <w:rsid w:val="006511AA"/>
    <w:rsid w:val="00671A59"/>
    <w:rsid w:val="00691F82"/>
    <w:rsid w:val="006B463C"/>
    <w:rsid w:val="006C51B8"/>
    <w:rsid w:val="006C6723"/>
    <w:rsid w:val="006E0C56"/>
    <w:rsid w:val="006F0C5C"/>
    <w:rsid w:val="007258AA"/>
    <w:rsid w:val="00732CAD"/>
    <w:rsid w:val="00743CCA"/>
    <w:rsid w:val="00746319"/>
    <w:rsid w:val="00755F20"/>
    <w:rsid w:val="007875D1"/>
    <w:rsid w:val="00790C29"/>
    <w:rsid w:val="007934F4"/>
    <w:rsid w:val="007970D4"/>
    <w:rsid w:val="007A18CE"/>
    <w:rsid w:val="007C5108"/>
    <w:rsid w:val="007F0333"/>
    <w:rsid w:val="00800D58"/>
    <w:rsid w:val="00834D93"/>
    <w:rsid w:val="00862283"/>
    <w:rsid w:val="0088114E"/>
    <w:rsid w:val="00883526"/>
    <w:rsid w:val="00884721"/>
    <w:rsid w:val="008A3E9A"/>
    <w:rsid w:val="008A690F"/>
    <w:rsid w:val="00901E5B"/>
    <w:rsid w:val="00955BD4"/>
    <w:rsid w:val="00970E67"/>
    <w:rsid w:val="009821B4"/>
    <w:rsid w:val="009A4AF3"/>
    <w:rsid w:val="009A6AD9"/>
    <w:rsid w:val="009B0CCF"/>
    <w:rsid w:val="009B7F4F"/>
    <w:rsid w:val="009D3EA4"/>
    <w:rsid w:val="009E6632"/>
    <w:rsid w:val="009E6C61"/>
    <w:rsid w:val="009F45ED"/>
    <w:rsid w:val="00A31D17"/>
    <w:rsid w:val="00A41107"/>
    <w:rsid w:val="00A50066"/>
    <w:rsid w:val="00A561B6"/>
    <w:rsid w:val="00A668A1"/>
    <w:rsid w:val="00A76779"/>
    <w:rsid w:val="00A76E81"/>
    <w:rsid w:val="00A83688"/>
    <w:rsid w:val="00A83863"/>
    <w:rsid w:val="00AA5EB8"/>
    <w:rsid w:val="00AC3BCD"/>
    <w:rsid w:val="00AD1069"/>
    <w:rsid w:val="00AD6315"/>
    <w:rsid w:val="00AF4356"/>
    <w:rsid w:val="00B26097"/>
    <w:rsid w:val="00B27625"/>
    <w:rsid w:val="00B31A2D"/>
    <w:rsid w:val="00B4758E"/>
    <w:rsid w:val="00B507EC"/>
    <w:rsid w:val="00B675D9"/>
    <w:rsid w:val="00BA5AE6"/>
    <w:rsid w:val="00BF5676"/>
    <w:rsid w:val="00C115F9"/>
    <w:rsid w:val="00C56D59"/>
    <w:rsid w:val="00C65F09"/>
    <w:rsid w:val="00C96AD1"/>
    <w:rsid w:val="00CA7727"/>
    <w:rsid w:val="00CE08A2"/>
    <w:rsid w:val="00D20F65"/>
    <w:rsid w:val="00D346AF"/>
    <w:rsid w:val="00D367E3"/>
    <w:rsid w:val="00D50471"/>
    <w:rsid w:val="00DA2249"/>
    <w:rsid w:val="00DA581F"/>
    <w:rsid w:val="00DC29A1"/>
    <w:rsid w:val="00DC7405"/>
    <w:rsid w:val="00DD3006"/>
    <w:rsid w:val="00DE2102"/>
    <w:rsid w:val="00DE5BA9"/>
    <w:rsid w:val="00E119D1"/>
    <w:rsid w:val="00E63DBD"/>
    <w:rsid w:val="00E713DA"/>
    <w:rsid w:val="00E85CF8"/>
    <w:rsid w:val="00EB353E"/>
    <w:rsid w:val="00EC2A1D"/>
    <w:rsid w:val="00ED51D7"/>
    <w:rsid w:val="00EE1DF0"/>
    <w:rsid w:val="00F01887"/>
    <w:rsid w:val="00F215A7"/>
    <w:rsid w:val="00F42DCF"/>
    <w:rsid w:val="00F709F5"/>
    <w:rsid w:val="00F90AE2"/>
    <w:rsid w:val="00FA5CBE"/>
    <w:rsid w:val="00FB641C"/>
    <w:rsid w:val="00FC1073"/>
    <w:rsid w:val="00FF16A7"/>
    <w:rsid w:val="00FF5F32"/>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DC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MDPI12title">
    <w:name w:val="MDPI_1.2_title"/>
    <w:next w:val="Normal"/>
    <w:qFormat/>
    <w:rsid w:val="000711A3"/>
    <w:pPr>
      <w:adjustRightInd w:val="0"/>
      <w:snapToGrid w:val="0"/>
      <w:spacing w:after="240" w:line="240" w:lineRule="atLeast"/>
    </w:pPr>
    <w:rPr>
      <w:rFonts w:ascii="Palatino Linotype" w:hAnsi="Palatino Linotype"/>
      <w:b/>
      <w:snapToGrid w:val="0"/>
      <w:color w:val="000000"/>
      <w:sz w:val="36"/>
      <w:lang w:val="en-US" w:eastAsia="de-DE" w:bidi="en-US"/>
    </w:rPr>
  </w:style>
  <w:style w:type="paragraph" w:customStyle="1" w:styleId="MDPI16affiliation">
    <w:name w:val="MDPI_1.6_affiliation"/>
    <w:qFormat/>
    <w:rsid w:val="00B31A2D"/>
    <w:pPr>
      <w:adjustRightInd w:val="0"/>
      <w:snapToGrid w:val="0"/>
      <w:spacing w:line="200" w:lineRule="atLeast"/>
      <w:ind w:left="2806" w:hanging="198"/>
    </w:pPr>
    <w:rPr>
      <w:rFonts w:ascii="Palatino Linotype" w:hAnsi="Palatino Linotype"/>
      <w:color w:val="000000"/>
      <w:sz w:val="16"/>
      <w:szCs w:val="18"/>
      <w:lang w:val="en-US" w:eastAsia="de-DE" w:bidi="en-US"/>
    </w:rPr>
  </w:style>
  <w:style w:type="paragraph" w:customStyle="1" w:styleId="MDPI17abstract">
    <w:name w:val="MDPI_1.7_abstract"/>
    <w:next w:val="Normal"/>
    <w:qFormat/>
    <w:rsid w:val="00955BD4"/>
    <w:pPr>
      <w:adjustRightInd w:val="0"/>
      <w:snapToGrid w:val="0"/>
      <w:spacing w:before="240" w:line="260" w:lineRule="atLeast"/>
      <w:ind w:left="2608"/>
      <w:jc w:val="both"/>
    </w:pPr>
    <w:rPr>
      <w:rFonts w:ascii="Palatino Linotype" w:hAnsi="Palatino Linotype"/>
      <w:color w:val="000000"/>
      <w:sz w:val="18"/>
      <w:szCs w:val="22"/>
      <w:lang w:val="en-US" w:eastAsia="de-DE" w:bidi="en-US"/>
    </w:rPr>
  </w:style>
  <w:style w:type="character" w:customStyle="1" w:styleId="UnresolvedMention">
    <w:name w:val="Unresolved Mention"/>
    <w:basedOn w:val="DefaultParagraphFont"/>
    <w:uiPriority w:val="99"/>
    <w:semiHidden/>
    <w:unhideWhenUsed/>
    <w:rsid w:val="009A4AF3"/>
    <w:rPr>
      <w:color w:val="605E5C"/>
      <w:shd w:val="clear" w:color="auto" w:fill="E1DFDD"/>
    </w:rPr>
  </w:style>
  <w:style w:type="paragraph" w:customStyle="1" w:styleId="p1">
    <w:name w:val="p1"/>
    <w:basedOn w:val="Normal"/>
    <w:rsid w:val="005663CD"/>
    <w:rPr>
      <w:rFonts w:ascii="Helvetica" w:eastAsiaTheme="minorEastAsia" w:hAnsi="Helvetica"/>
      <w:sz w:val="18"/>
      <w:szCs w:val="18"/>
      <w:lang w:eastAsia="en-US" w:bidi="th-TH"/>
    </w:rPr>
  </w:style>
  <w:style w:type="character" w:customStyle="1" w:styleId="s1">
    <w:name w:val="s1"/>
    <w:basedOn w:val="DefaultParagraphFont"/>
    <w:rsid w:val="005663CD"/>
    <w:rPr>
      <w:rFonts w:ascii="Helvetica" w:hAnsi="Helvetica" w:hint="default"/>
      <w:b w:val="0"/>
      <w:bCs w:val="0"/>
      <w:i w:val="0"/>
      <w:iCs w:val="0"/>
      <w:sz w:val="18"/>
      <w:szCs w:val="18"/>
    </w:rPr>
  </w:style>
  <w:style w:type="paragraph" w:customStyle="1" w:styleId="MDPI21heading1">
    <w:name w:val="MDPI_2.1_heading1"/>
    <w:qFormat/>
    <w:rsid w:val="00A76779"/>
    <w:pPr>
      <w:adjustRightInd w:val="0"/>
      <w:snapToGrid w:val="0"/>
      <w:spacing w:before="240" w:after="60" w:line="228" w:lineRule="auto"/>
      <w:ind w:left="2608"/>
      <w:outlineLvl w:val="0"/>
    </w:pPr>
    <w:rPr>
      <w:rFonts w:ascii="Palatino Linotype" w:hAnsi="Palatino Linotype"/>
      <w:b/>
      <w:snapToGrid w:val="0"/>
      <w:color w:val="000000"/>
      <w:szCs w:val="22"/>
      <w:lang w:val="en-US" w:eastAsia="de-DE" w:bidi="en-US"/>
    </w:rPr>
  </w:style>
  <w:style w:type="paragraph" w:customStyle="1" w:styleId="MDPI71References">
    <w:name w:val="MDPI_7.1_References"/>
    <w:qFormat/>
    <w:rsid w:val="00A76779"/>
    <w:pPr>
      <w:numPr>
        <w:numId w:val="4"/>
      </w:numPr>
      <w:adjustRightInd w:val="0"/>
      <w:snapToGrid w:val="0"/>
      <w:spacing w:line="228" w:lineRule="auto"/>
      <w:jc w:val="both"/>
    </w:pPr>
    <w:rPr>
      <w:rFonts w:ascii="Palatino Linotype" w:hAnsi="Palatino Linotype"/>
      <w:color w:val="000000"/>
      <w:sz w:val="18"/>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MDPI12title">
    <w:name w:val="MDPI_1.2_title"/>
    <w:next w:val="Normal"/>
    <w:qFormat/>
    <w:rsid w:val="000711A3"/>
    <w:pPr>
      <w:adjustRightInd w:val="0"/>
      <w:snapToGrid w:val="0"/>
      <w:spacing w:after="240" w:line="240" w:lineRule="atLeast"/>
    </w:pPr>
    <w:rPr>
      <w:rFonts w:ascii="Palatino Linotype" w:hAnsi="Palatino Linotype"/>
      <w:b/>
      <w:snapToGrid w:val="0"/>
      <w:color w:val="000000"/>
      <w:sz w:val="36"/>
      <w:lang w:val="en-US" w:eastAsia="de-DE" w:bidi="en-US"/>
    </w:rPr>
  </w:style>
  <w:style w:type="paragraph" w:customStyle="1" w:styleId="MDPI16affiliation">
    <w:name w:val="MDPI_1.6_affiliation"/>
    <w:qFormat/>
    <w:rsid w:val="00B31A2D"/>
    <w:pPr>
      <w:adjustRightInd w:val="0"/>
      <w:snapToGrid w:val="0"/>
      <w:spacing w:line="200" w:lineRule="atLeast"/>
      <w:ind w:left="2806" w:hanging="198"/>
    </w:pPr>
    <w:rPr>
      <w:rFonts w:ascii="Palatino Linotype" w:hAnsi="Palatino Linotype"/>
      <w:color w:val="000000"/>
      <w:sz w:val="16"/>
      <w:szCs w:val="18"/>
      <w:lang w:val="en-US" w:eastAsia="de-DE" w:bidi="en-US"/>
    </w:rPr>
  </w:style>
  <w:style w:type="paragraph" w:customStyle="1" w:styleId="MDPI17abstract">
    <w:name w:val="MDPI_1.7_abstract"/>
    <w:next w:val="Normal"/>
    <w:qFormat/>
    <w:rsid w:val="00955BD4"/>
    <w:pPr>
      <w:adjustRightInd w:val="0"/>
      <w:snapToGrid w:val="0"/>
      <w:spacing w:before="240" w:line="260" w:lineRule="atLeast"/>
      <w:ind w:left="2608"/>
      <w:jc w:val="both"/>
    </w:pPr>
    <w:rPr>
      <w:rFonts w:ascii="Palatino Linotype" w:hAnsi="Palatino Linotype"/>
      <w:color w:val="000000"/>
      <w:sz w:val="18"/>
      <w:szCs w:val="22"/>
      <w:lang w:val="en-US" w:eastAsia="de-DE" w:bidi="en-US"/>
    </w:rPr>
  </w:style>
  <w:style w:type="character" w:customStyle="1" w:styleId="UnresolvedMention">
    <w:name w:val="Unresolved Mention"/>
    <w:basedOn w:val="DefaultParagraphFont"/>
    <w:uiPriority w:val="99"/>
    <w:semiHidden/>
    <w:unhideWhenUsed/>
    <w:rsid w:val="009A4AF3"/>
    <w:rPr>
      <w:color w:val="605E5C"/>
      <w:shd w:val="clear" w:color="auto" w:fill="E1DFDD"/>
    </w:rPr>
  </w:style>
  <w:style w:type="paragraph" w:customStyle="1" w:styleId="p1">
    <w:name w:val="p1"/>
    <w:basedOn w:val="Normal"/>
    <w:rsid w:val="005663CD"/>
    <w:rPr>
      <w:rFonts w:ascii="Helvetica" w:eastAsiaTheme="minorEastAsia" w:hAnsi="Helvetica"/>
      <w:sz w:val="18"/>
      <w:szCs w:val="18"/>
      <w:lang w:eastAsia="en-US" w:bidi="th-TH"/>
    </w:rPr>
  </w:style>
  <w:style w:type="character" w:customStyle="1" w:styleId="s1">
    <w:name w:val="s1"/>
    <w:basedOn w:val="DefaultParagraphFont"/>
    <w:rsid w:val="005663CD"/>
    <w:rPr>
      <w:rFonts w:ascii="Helvetica" w:hAnsi="Helvetica" w:hint="default"/>
      <w:b w:val="0"/>
      <w:bCs w:val="0"/>
      <w:i w:val="0"/>
      <w:iCs w:val="0"/>
      <w:sz w:val="18"/>
      <w:szCs w:val="18"/>
    </w:rPr>
  </w:style>
  <w:style w:type="paragraph" w:customStyle="1" w:styleId="MDPI21heading1">
    <w:name w:val="MDPI_2.1_heading1"/>
    <w:qFormat/>
    <w:rsid w:val="00A76779"/>
    <w:pPr>
      <w:adjustRightInd w:val="0"/>
      <w:snapToGrid w:val="0"/>
      <w:spacing w:before="240" w:after="60" w:line="228" w:lineRule="auto"/>
      <w:ind w:left="2608"/>
      <w:outlineLvl w:val="0"/>
    </w:pPr>
    <w:rPr>
      <w:rFonts w:ascii="Palatino Linotype" w:hAnsi="Palatino Linotype"/>
      <w:b/>
      <w:snapToGrid w:val="0"/>
      <w:color w:val="000000"/>
      <w:szCs w:val="22"/>
      <w:lang w:val="en-US" w:eastAsia="de-DE" w:bidi="en-US"/>
    </w:rPr>
  </w:style>
  <w:style w:type="paragraph" w:customStyle="1" w:styleId="MDPI71References">
    <w:name w:val="MDPI_7.1_References"/>
    <w:qFormat/>
    <w:rsid w:val="00A76779"/>
    <w:pPr>
      <w:numPr>
        <w:numId w:val="4"/>
      </w:numPr>
      <w:adjustRightInd w:val="0"/>
      <w:snapToGrid w:val="0"/>
      <w:spacing w:line="228" w:lineRule="auto"/>
      <w:jc w:val="both"/>
    </w:pPr>
    <w:rPr>
      <w:rFonts w:ascii="Palatino Linotype" w:hAnsi="Palatino Linotype"/>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31622344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11/cup.13099"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doi.org/10.1002/pbc.2412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hoc.2020.01.00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11/his.1334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016/j.jdermsci.2020.01.010" TargetMode="External"/><Relationship Id="rId23" Type="http://schemas.openxmlformats.org/officeDocument/2006/relationships/fontTable" Target="fontTable.xml"/><Relationship Id="rId10" Type="http://schemas.openxmlformats.org/officeDocument/2006/relationships/hyperlink" Target="https://doi.org/10.3324/haematol.2010.026179"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doi.org/10.1182/bloodadvances.2020002474" TargetMode="External"/><Relationship Id="rId14" Type="http://schemas.openxmlformats.org/officeDocument/2006/relationships/hyperlink" Target="https://doi.org/10.1097/PAS.000000000000131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425A0-8C73-4E1E-90A4-8B3A8B19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5273</Characters>
  <Application>Microsoft Office Word</Application>
  <DocSecurity>0</DocSecurity>
  <Lines>43</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2022-10-27T06:05:00Z</dcterms:created>
  <dcterms:modified xsi:type="dcterms:W3CDTF">2022-10-27T06:05:00Z</dcterms:modified>
</cp:coreProperties>
</file>