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DB9AAE" w14:textId="4D291193" w:rsidR="00897A0D" w:rsidRDefault="00897A0D" w:rsidP="00C0574E">
      <w:pPr>
        <w:autoSpaceDE w:val="0"/>
        <w:autoSpaceDN w:val="0"/>
        <w:adjustRightInd w:val="0"/>
        <w:jc w:val="center"/>
        <w:rPr>
          <w:rFonts w:ascii="Times New Roman" w:hAnsi="Times New Roman" w:cs="Times New Roman"/>
          <w:b/>
          <w:color w:val="000000"/>
          <w:sz w:val="20"/>
          <w:szCs w:val="20"/>
        </w:rPr>
      </w:pPr>
      <w:r w:rsidRPr="00C0574E">
        <w:rPr>
          <w:rFonts w:ascii="Times New Roman" w:hAnsi="Times New Roman" w:cs="Times New Roman"/>
          <w:b/>
          <w:color w:val="000000"/>
          <w:sz w:val="20"/>
          <w:szCs w:val="20"/>
        </w:rPr>
        <w:t>Dementia Center’s Response to the Evolving COVID-19 Pandemic</w:t>
      </w:r>
    </w:p>
    <w:p w14:paraId="708C4B40" w14:textId="77777777" w:rsidR="00C0574E" w:rsidRPr="00C0574E" w:rsidRDefault="00C0574E" w:rsidP="00C0574E">
      <w:pPr>
        <w:autoSpaceDE w:val="0"/>
        <w:autoSpaceDN w:val="0"/>
        <w:adjustRightInd w:val="0"/>
        <w:jc w:val="center"/>
        <w:rPr>
          <w:rFonts w:ascii="Helvetica" w:hAnsi="Helvetica" w:cs="Helvetica"/>
          <w:b/>
          <w:color w:val="000000"/>
          <w:sz w:val="20"/>
          <w:szCs w:val="20"/>
        </w:rPr>
      </w:pPr>
    </w:p>
    <w:p w14:paraId="54F59B89" w14:textId="14C9D430" w:rsidR="00897A0D" w:rsidRPr="00C0574E" w:rsidRDefault="00897A0D" w:rsidP="00897A0D">
      <w:pPr>
        <w:autoSpaceDE w:val="0"/>
        <w:autoSpaceDN w:val="0"/>
        <w:adjustRightInd w:val="0"/>
        <w:rPr>
          <w:rFonts w:ascii="Helvetica" w:hAnsi="Helvetica" w:cs="Helvetica"/>
          <w:color w:val="000000"/>
          <w:sz w:val="20"/>
          <w:szCs w:val="20"/>
        </w:rPr>
      </w:pPr>
      <w:r w:rsidRPr="00C0574E">
        <w:rPr>
          <w:rFonts w:ascii="Times New Roman" w:hAnsi="Times New Roman" w:cs="Times New Roman"/>
          <w:b/>
          <w:bCs/>
          <w:color w:val="000000"/>
          <w:sz w:val="20"/>
          <w:szCs w:val="20"/>
        </w:rPr>
        <w:t>Authors:</w:t>
      </w:r>
      <w:r w:rsidRPr="00C0574E">
        <w:rPr>
          <w:rFonts w:ascii="Times New Roman" w:hAnsi="Times New Roman" w:cs="Times New Roman"/>
          <w:color w:val="000000"/>
          <w:sz w:val="20"/>
          <w:szCs w:val="20"/>
        </w:rPr>
        <w:t xml:space="preserve"> </w:t>
      </w:r>
      <w:proofErr w:type="spellStart"/>
      <w:r w:rsidRPr="00C0574E">
        <w:rPr>
          <w:rFonts w:ascii="Times New Roman" w:hAnsi="Times New Roman" w:cs="Times New Roman"/>
          <w:color w:val="000000"/>
          <w:sz w:val="20"/>
          <w:szCs w:val="20"/>
        </w:rPr>
        <w:t>Siri</w:t>
      </w:r>
      <w:proofErr w:type="spellEnd"/>
      <w:r w:rsidRPr="00C0574E">
        <w:rPr>
          <w:rFonts w:ascii="Times New Roman" w:hAnsi="Times New Roman" w:cs="Times New Roman"/>
          <w:color w:val="000000"/>
          <w:sz w:val="20"/>
          <w:szCs w:val="20"/>
        </w:rPr>
        <w:t xml:space="preserve"> </w:t>
      </w:r>
      <w:proofErr w:type="spellStart"/>
      <w:r w:rsidRPr="00C0574E">
        <w:rPr>
          <w:rFonts w:ascii="Times New Roman" w:hAnsi="Times New Roman" w:cs="Times New Roman"/>
          <w:color w:val="000000"/>
          <w:sz w:val="20"/>
          <w:szCs w:val="20"/>
        </w:rPr>
        <w:t>Tummala</w:t>
      </w:r>
      <w:proofErr w:type="spellEnd"/>
      <w:r w:rsidRPr="00C0574E">
        <w:rPr>
          <w:rFonts w:ascii="Times New Roman" w:hAnsi="Times New Roman" w:cs="Times New Roman"/>
          <w:color w:val="000000"/>
          <w:sz w:val="20"/>
          <w:szCs w:val="20"/>
        </w:rPr>
        <w:t xml:space="preserve">, Katelyn Bowman, Dr. Cheryl Harding, Jaime Cobb, Dr. Gary </w:t>
      </w:r>
      <w:proofErr w:type="spellStart"/>
      <w:r w:rsidRPr="00C0574E">
        <w:rPr>
          <w:rFonts w:ascii="Times New Roman" w:hAnsi="Times New Roman" w:cs="Times New Roman"/>
          <w:color w:val="000000"/>
          <w:sz w:val="20"/>
          <w:szCs w:val="20"/>
        </w:rPr>
        <w:t>Kesling</w:t>
      </w:r>
      <w:proofErr w:type="spellEnd"/>
    </w:p>
    <w:p w14:paraId="70DEF4FB" w14:textId="77777777" w:rsidR="00897A0D" w:rsidRPr="00C0574E" w:rsidRDefault="00897A0D" w:rsidP="00897A0D">
      <w:pPr>
        <w:autoSpaceDE w:val="0"/>
        <w:autoSpaceDN w:val="0"/>
        <w:adjustRightInd w:val="0"/>
        <w:rPr>
          <w:rFonts w:ascii="Times New Roman" w:hAnsi="Times New Roman" w:cs="Times New Roman"/>
          <w:color w:val="000000"/>
          <w:sz w:val="20"/>
          <w:szCs w:val="20"/>
        </w:rPr>
      </w:pPr>
    </w:p>
    <w:p w14:paraId="6D5CAE95" w14:textId="7AA2889C" w:rsidR="00897A0D" w:rsidRPr="00C0574E" w:rsidRDefault="00C0574E" w:rsidP="00C0574E">
      <w:pPr>
        <w:autoSpaceDE w:val="0"/>
        <w:autoSpaceDN w:val="0"/>
        <w:adjustRightInd w:val="0"/>
        <w:jc w:val="both"/>
        <w:rPr>
          <w:rFonts w:ascii="Times New Roman" w:hAnsi="Times New Roman" w:cs="Times New Roman"/>
          <w:color w:val="000000"/>
          <w:sz w:val="20"/>
          <w:szCs w:val="20"/>
        </w:rPr>
      </w:pPr>
      <w:r w:rsidRPr="00C0574E">
        <w:rPr>
          <w:rFonts w:ascii="Times New Roman" w:hAnsi="Times New Roman" w:cs="Times New Roman"/>
          <w:b/>
          <w:color w:val="000000"/>
          <w:sz w:val="20"/>
          <w:szCs w:val="20"/>
        </w:rPr>
        <w:t>Abstract:</w:t>
      </w:r>
      <w:r w:rsidRPr="00C0574E">
        <w:rPr>
          <w:rFonts w:ascii="Times New Roman" w:hAnsi="Times New Roman" w:cs="Times New Roman"/>
          <w:color w:val="000000"/>
          <w:sz w:val="20"/>
          <w:szCs w:val="20"/>
        </w:rPr>
        <w:t xml:space="preserve"> </w:t>
      </w:r>
      <w:r w:rsidR="00897A0D" w:rsidRPr="00C0574E">
        <w:rPr>
          <w:rFonts w:ascii="Times New Roman" w:hAnsi="Times New Roman" w:cs="Times New Roman"/>
          <w:color w:val="000000"/>
          <w:sz w:val="20"/>
          <w:szCs w:val="20"/>
        </w:rPr>
        <w:t>With society as a whole adapting to the COVID-19 pandemic, dementia centers have also changed their regulations. The James L. West Center for Dementia Care is a prominent Alzheimer’s care facility in Texas with a capacity of one hundred residents. At the beginning of the pandemic in 2020, the center prohibited in-person visitors and shifted all in-person caregiver sessions to a virtual format, and it faced several issues with resident engagement and staff turnover. As COVID-19 concerns mitigated in society, the facility began allowing in-person visitors but retained masking guidelines. Our analysis of this center’s response to the pandemic suggest that dementia care facilities should prioritize an open design, provide pandemic preparation training for staff, and integrate virtual aspects.</w:t>
      </w:r>
    </w:p>
    <w:p w14:paraId="4335DEE5" w14:textId="77777777" w:rsidR="00C0574E" w:rsidRPr="00C0574E" w:rsidRDefault="00C0574E" w:rsidP="00897A0D">
      <w:pPr>
        <w:autoSpaceDE w:val="0"/>
        <w:autoSpaceDN w:val="0"/>
        <w:adjustRightInd w:val="0"/>
        <w:rPr>
          <w:rFonts w:ascii="Times New Roman" w:hAnsi="Times New Roman" w:cs="Times New Roman"/>
          <w:color w:val="000000"/>
          <w:sz w:val="20"/>
          <w:szCs w:val="20"/>
        </w:rPr>
      </w:pPr>
    </w:p>
    <w:p w14:paraId="04B4BE74" w14:textId="348D5D9F" w:rsidR="00C0574E" w:rsidRPr="00C0574E" w:rsidRDefault="00C0574E" w:rsidP="00C0574E">
      <w:pPr>
        <w:jc w:val="both"/>
        <w:rPr>
          <w:rFonts w:ascii="Helvetica" w:hAnsi="Helvetica" w:cs="Helvetica"/>
          <w:color w:val="000000"/>
          <w:sz w:val="20"/>
          <w:szCs w:val="20"/>
        </w:rPr>
      </w:pPr>
      <w:r w:rsidRPr="00C0574E">
        <w:rPr>
          <w:rFonts w:ascii="Times New Roman" w:hAnsi="Times New Roman" w:cs="Times New Roman"/>
          <w:b/>
          <w:sz w:val="20"/>
          <w:szCs w:val="20"/>
        </w:rPr>
        <w:t>Biography:</w:t>
      </w:r>
      <w:r w:rsidRPr="00C0574E">
        <w:rPr>
          <w:rFonts w:ascii="Times New Roman" w:hAnsi="Times New Roman" w:cs="Times New Roman"/>
          <w:sz w:val="20"/>
          <w:szCs w:val="20"/>
        </w:rPr>
        <w:t xml:space="preserve"> </w:t>
      </w:r>
      <w:proofErr w:type="spellStart"/>
      <w:r w:rsidRPr="00C0574E">
        <w:rPr>
          <w:rFonts w:ascii="Times New Roman" w:hAnsi="Times New Roman" w:cs="Times New Roman"/>
          <w:sz w:val="20"/>
          <w:szCs w:val="20"/>
        </w:rPr>
        <w:t>Siri</w:t>
      </w:r>
      <w:proofErr w:type="spellEnd"/>
      <w:r w:rsidRPr="00C0574E">
        <w:rPr>
          <w:rFonts w:ascii="Times New Roman" w:hAnsi="Times New Roman" w:cs="Times New Roman"/>
          <w:sz w:val="20"/>
          <w:szCs w:val="20"/>
        </w:rPr>
        <w:t xml:space="preserve"> </w:t>
      </w:r>
      <w:proofErr w:type="spellStart"/>
      <w:r w:rsidRPr="00C0574E">
        <w:rPr>
          <w:rFonts w:ascii="Times New Roman" w:hAnsi="Times New Roman" w:cs="Times New Roman"/>
          <w:sz w:val="20"/>
          <w:szCs w:val="20"/>
        </w:rPr>
        <w:t>Tummala</w:t>
      </w:r>
      <w:proofErr w:type="spellEnd"/>
      <w:r w:rsidRPr="00C0574E">
        <w:rPr>
          <w:rFonts w:ascii="Times New Roman" w:hAnsi="Times New Roman" w:cs="Times New Roman"/>
          <w:sz w:val="20"/>
          <w:szCs w:val="20"/>
        </w:rPr>
        <w:t xml:space="preserve"> is Fort Worth </w:t>
      </w:r>
      <w:r w:rsidRPr="00C0574E">
        <w:rPr>
          <w:rStyle w:val="Strong"/>
          <w:rFonts w:ascii="Times New Roman" w:hAnsi="Times New Roman" w:cs="Times New Roman"/>
          <w:b w:val="0"/>
          <w:color w:val="222222"/>
          <w:sz w:val="20"/>
          <w:szCs w:val="20"/>
          <w:shd w:val="clear" w:color="auto" w:fill="FFFFFF"/>
        </w:rPr>
        <w:t>medical student</w:t>
      </w:r>
      <w:r w:rsidRPr="00C0574E">
        <w:rPr>
          <w:rStyle w:val="Strong"/>
          <w:rFonts w:ascii="Times New Roman" w:hAnsi="Times New Roman" w:cs="Times New Roman"/>
          <w:color w:val="222222"/>
          <w:sz w:val="20"/>
          <w:szCs w:val="20"/>
          <w:shd w:val="clear" w:color="auto" w:fill="FFFFFF"/>
        </w:rPr>
        <w:t>,</w:t>
      </w:r>
      <w:r w:rsidRPr="00C0574E">
        <w:rPr>
          <w:rFonts w:ascii="Times New Roman" w:hAnsi="Times New Roman" w:cs="Times New Roman"/>
          <w:color w:val="222222"/>
          <w:sz w:val="20"/>
          <w:szCs w:val="20"/>
          <w:shd w:val="clear" w:color="auto" w:fill="FFFFFF"/>
        </w:rPr>
        <w:t xml:space="preserve"> TCU School of Medicine </w:t>
      </w:r>
      <w:r w:rsidRPr="00C0574E">
        <w:rPr>
          <w:rFonts w:ascii="Times New Roman" w:hAnsi="Times New Roman" w:cs="Times New Roman"/>
          <w:sz w:val="20"/>
          <w:szCs w:val="20"/>
        </w:rPr>
        <w:t>in department of Dementia Texas, United States. She published an article with the title “The Impact of COVID-19 Restrictions on Caregivers of Individuals with Dementia”</w:t>
      </w:r>
      <w:r>
        <w:rPr>
          <w:rFonts w:ascii="Times New Roman" w:hAnsi="Times New Roman" w:cs="Times New Roman"/>
          <w:sz w:val="20"/>
          <w:szCs w:val="20"/>
        </w:rPr>
        <w:t xml:space="preserve"> which was published in “</w:t>
      </w:r>
      <w:r w:rsidRPr="00C0574E">
        <w:rPr>
          <w:rFonts w:ascii="Times New Roman" w:hAnsi="Times New Roman" w:cs="Times New Roman"/>
          <w:sz w:val="20"/>
          <w:szCs w:val="20"/>
        </w:rPr>
        <w:t>Journal of Dementia</w:t>
      </w:r>
      <w:r>
        <w:rPr>
          <w:rFonts w:ascii="Times New Roman" w:hAnsi="Times New Roman" w:cs="Times New Roman"/>
          <w:sz w:val="20"/>
          <w:szCs w:val="20"/>
        </w:rPr>
        <w:t>”.</w:t>
      </w:r>
    </w:p>
    <w:p w14:paraId="0BE60A95" w14:textId="77777777" w:rsidR="00897A0D" w:rsidRPr="00C0574E" w:rsidRDefault="00897A0D" w:rsidP="00C0574E">
      <w:pPr>
        <w:jc w:val="both"/>
        <w:rPr>
          <w:sz w:val="20"/>
          <w:szCs w:val="20"/>
        </w:rPr>
      </w:pPr>
      <w:bookmarkStart w:id="0" w:name="_GoBack"/>
      <w:bookmarkEnd w:id="0"/>
    </w:p>
    <w:sectPr w:rsidR="00897A0D" w:rsidRPr="00C0574E" w:rsidSect="005E7846">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5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7A0D"/>
    <w:rsid w:val="00425FF9"/>
    <w:rsid w:val="00897A0D"/>
    <w:rsid w:val="00C057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BE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0574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0574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187</Words>
  <Characters>1069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6th World Congress On Public Health And Nutrition</cp:lastModifiedBy>
  <cp:revision>2</cp:revision>
  <dcterms:created xsi:type="dcterms:W3CDTF">2022-10-25T07:14:00Z</dcterms:created>
  <dcterms:modified xsi:type="dcterms:W3CDTF">2022-10-25T07:14:00Z</dcterms:modified>
</cp:coreProperties>
</file>