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F65" w:rsidRPr="009020DC" w:rsidRDefault="00B12728">
      <w:pPr>
        <w:rPr>
          <w:rFonts w:ascii="Times New Roman" w:hAnsi="Times New Roman" w:cs="Times New Roman"/>
          <w:b/>
          <w:sz w:val="32"/>
          <w:szCs w:val="32"/>
        </w:rPr>
      </w:pPr>
      <w:r w:rsidRPr="009020DC">
        <w:rPr>
          <w:rFonts w:ascii="Times New Roman" w:hAnsi="Times New Roman" w:cs="Times New Roman"/>
          <w:b/>
          <w:sz w:val="32"/>
          <w:szCs w:val="32"/>
        </w:rPr>
        <w:t>Amyloid Hypothesis: beginning of the end of a dogma?</w:t>
      </w:r>
    </w:p>
    <w:p w:rsidR="00B12728" w:rsidRPr="009020DC" w:rsidRDefault="00B12728">
      <w:pPr>
        <w:rPr>
          <w:rFonts w:ascii="Times New Roman" w:hAnsi="Times New Roman" w:cs="Times New Roman"/>
          <w:sz w:val="24"/>
          <w:szCs w:val="24"/>
        </w:rPr>
      </w:pPr>
      <w:r w:rsidRPr="009020DC">
        <w:rPr>
          <w:rFonts w:ascii="Times New Roman" w:hAnsi="Times New Roman" w:cs="Times New Roman"/>
          <w:sz w:val="24"/>
          <w:szCs w:val="24"/>
        </w:rPr>
        <w:t>Lloyd L. Tran</w:t>
      </w:r>
      <w:r w:rsidR="009020DC">
        <w:rPr>
          <w:rFonts w:ascii="Times New Roman" w:hAnsi="Times New Roman" w:cs="Times New Roman"/>
          <w:sz w:val="24"/>
          <w:szCs w:val="24"/>
        </w:rPr>
        <w:t>*</w:t>
      </w:r>
      <w:r w:rsidRPr="009020DC">
        <w:rPr>
          <w:rFonts w:ascii="Times New Roman" w:hAnsi="Times New Roman" w:cs="Times New Roman"/>
          <w:sz w:val="24"/>
          <w:szCs w:val="24"/>
        </w:rPr>
        <w:t xml:space="preserve"> </w:t>
      </w:r>
      <w:bookmarkStart w:id="0" w:name="_GoBack"/>
      <w:bookmarkEnd w:id="0"/>
    </w:p>
    <w:p w:rsidR="00D72B01" w:rsidRPr="00D72B01" w:rsidRDefault="009020DC" w:rsidP="009020DC">
      <w:pPr>
        <w:rPr>
          <w:rFonts w:ascii="Times New Roman" w:hAnsi="Times New Roman" w:cs="Times New Roman"/>
        </w:rPr>
      </w:pPr>
      <w:r w:rsidRPr="00D72B01">
        <w:rPr>
          <w:rFonts w:ascii="Times New Roman" w:hAnsi="Times New Roman" w:cs="Times New Roman"/>
        </w:rPr>
        <w:t>Vi</w:t>
      </w:r>
      <w:r w:rsidR="00D72B01">
        <w:rPr>
          <w:rFonts w:ascii="Times New Roman" w:hAnsi="Times New Roman" w:cs="Times New Roman"/>
        </w:rPr>
        <w:t xml:space="preserve">ctoria University of Wellington, </w:t>
      </w:r>
      <w:r w:rsidR="00B12728" w:rsidRPr="00D72B01">
        <w:rPr>
          <w:rFonts w:ascii="Times New Roman" w:hAnsi="Times New Roman" w:cs="Times New Roman"/>
        </w:rPr>
        <w:t>USA</w:t>
      </w:r>
    </w:p>
    <w:p w:rsidR="00B12728" w:rsidRPr="009020DC" w:rsidRDefault="00B12728">
      <w:pPr>
        <w:rPr>
          <w:rFonts w:ascii="Times New Roman" w:hAnsi="Times New Roman" w:cs="Times New Roman"/>
          <w:b/>
          <w:sz w:val="24"/>
          <w:szCs w:val="24"/>
        </w:rPr>
      </w:pPr>
      <w:r w:rsidRPr="009020DC">
        <w:rPr>
          <w:rFonts w:ascii="Times New Roman" w:hAnsi="Times New Roman" w:cs="Times New Roman"/>
          <w:b/>
          <w:sz w:val="24"/>
          <w:szCs w:val="24"/>
        </w:rPr>
        <w:t xml:space="preserve">                                                      </w:t>
      </w:r>
      <w:r w:rsidR="00D72B01">
        <w:rPr>
          <w:rFonts w:ascii="Times New Roman" w:hAnsi="Times New Roman" w:cs="Times New Roman"/>
          <w:b/>
          <w:sz w:val="24"/>
          <w:szCs w:val="24"/>
        </w:rPr>
        <w:t xml:space="preserve"> </w:t>
      </w:r>
      <w:r w:rsidRPr="009020DC">
        <w:rPr>
          <w:rFonts w:ascii="Times New Roman" w:hAnsi="Times New Roman" w:cs="Times New Roman"/>
          <w:b/>
          <w:sz w:val="24"/>
          <w:szCs w:val="24"/>
        </w:rPr>
        <w:t>Abstract</w:t>
      </w:r>
    </w:p>
    <w:p w:rsidR="00B12728" w:rsidRPr="009020DC" w:rsidRDefault="00B12728" w:rsidP="009020DC">
      <w:pPr>
        <w:jc w:val="both"/>
        <w:rPr>
          <w:rFonts w:ascii="Times New Roman" w:hAnsi="Times New Roman" w:cs="Times New Roman"/>
          <w:sz w:val="20"/>
          <w:szCs w:val="20"/>
        </w:rPr>
      </w:pPr>
      <w:r w:rsidRPr="009020DC">
        <w:rPr>
          <w:rFonts w:ascii="Times New Roman" w:hAnsi="Times New Roman" w:cs="Times New Roman"/>
          <w:sz w:val="20"/>
          <w:szCs w:val="20"/>
        </w:rPr>
        <w:t>The amyloid hypothesis has been the main guidance in drug development strategies for Alzheimer's disease for over 30 years. The hypothesis postulates that deposits of amyloid-beta peptide are essentially responsible for the neurodegeneration that occurs in Alzheimer's disease (AD). The association is trivial, since it exists only by virtue of the circular definition of AD. One of the most significant arguments against the amyloid hypothesis is the presence of high levels of Amyloid beta deposition in non-demented elderly people. The pharmaceutical industry has invested a great deal of financial resources in the development of therapeutics targeting amyloid generation. Since 1995, cumulative private expenditures on clinical stage AD R&amp;D were estimated at $42.5 billion. Unfortunately, almost all clinical trials of drugs based on the amyloid hypothesis failed. At Biomed we have proposed a new approach known as the Neurogenesis hypothesis for Alzheimer’s Disease. Essentially, in the hippocampus, new neurons are generated throughout life via a process called adult hippocampal neurogenesis (AHN). In mild cognitive impairment (MCI) and mild to moderate AD (early AD), AHN is reduced suggesting that AHN impairment compromises hippocampal function. Accordingly, augmenting AHN could help prevent or slow cognitive decline in MCI and early AD. NA-831 is a small drug molecule, which activates synaptic AMPA receptors, and increases the expression of BDNF (brain derived neurotrophic factor). BDNF is crucial in synaptic plasticity, learning and memory formation in the hippocampus. NA-831 restores neurogenesis by increasing the number of DCX+PCNA+ neuroblast cells. A randomized clinical trial of NA-831 was conducted in patients with MCI and mild and moderate AD who received 10 mg-30 mg of NA-831 or placebo orally per day. The results of the Phase A showed a proof of safety and efficacy of NA-831 as a potential treatment for Alzheimer’s disease. Details of the research data will be presented and discussed.</w:t>
      </w:r>
    </w:p>
    <w:p w:rsidR="00B12728" w:rsidRPr="00FE2436" w:rsidRDefault="00FE2436">
      <w:pPr>
        <w:rPr>
          <w:rFonts w:ascii="Times New Roman" w:hAnsi="Times New Roman" w:cs="Times New Roman"/>
          <w:b/>
          <w:sz w:val="24"/>
          <w:szCs w:val="24"/>
        </w:rPr>
      </w:pPr>
      <w:r w:rsidRPr="00FE2436">
        <w:rPr>
          <w:rFonts w:ascii="Times New Roman" w:hAnsi="Times New Roman" w:cs="Times New Roman"/>
          <w:b/>
          <w:sz w:val="24"/>
          <w:szCs w:val="24"/>
        </w:rPr>
        <w:t>References</w:t>
      </w:r>
    </w:p>
    <w:p w:rsidR="00B12728" w:rsidRPr="009020DC" w:rsidRDefault="00B12728" w:rsidP="009020DC">
      <w:pPr>
        <w:jc w:val="both"/>
        <w:rPr>
          <w:rFonts w:ascii="Times New Roman" w:hAnsi="Times New Roman" w:cs="Times New Roman"/>
          <w:sz w:val="20"/>
          <w:szCs w:val="20"/>
        </w:rPr>
      </w:pPr>
      <w:r w:rsidRPr="009020DC">
        <w:rPr>
          <w:rFonts w:ascii="Times New Roman" w:hAnsi="Times New Roman" w:cs="Times New Roman"/>
          <w:sz w:val="20"/>
          <w:szCs w:val="20"/>
        </w:rPr>
        <w:t xml:space="preserve">1. H Hardy J, Higgins GA. Alzheimer’s disease: the amyloid cascade hypothesis. Science 1992; 256:184–5. </w:t>
      </w:r>
    </w:p>
    <w:p w:rsidR="00B12728" w:rsidRPr="009020DC" w:rsidRDefault="00B12728" w:rsidP="009020DC">
      <w:pPr>
        <w:jc w:val="both"/>
        <w:rPr>
          <w:rFonts w:ascii="Times New Roman" w:hAnsi="Times New Roman" w:cs="Times New Roman"/>
          <w:sz w:val="20"/>
          <w:szCs w:val="20"/>
        </w:rPr>
      </w:pPr>
      <w:r w:rsidRPr="009020DC">
        <w:rPr>
          <w:rFonts w:ascii="Times New Roman" w:hAnsi="Times New Roman" w:cs="Times New Roman"/>
          <w:sz w:val="20"/>
          <w:szCs w:val="20"/>
        </w:rPr>
        <w:t xml:space="preserve">2. Joseph J, Shukitt-Hale B, Denisova NA, Martin A, Perry G, Smith MA. Copernicus revisited: amyloid-beta in Alzheimer’s disease. Neurobiol Aging 2001;22:131–46. </w:t>
      </w:r>
    </w:p>
    <w:p w:rsidR="00B12728" w:rsidRPr="009020DC" w:rsidRDefault="00B12728" w:rsidP="009020DC">
      <w:pPr>
        <w:jc w:val="both"/>
        <w:rPr>
          <w:rFonts w:ascii="Times New Roman" w:hAnsi="Times New Roman" w:cs="Times New Roman"/>
          <w:sz w:val="20"/>
          <w:szCs w:val="20"/>
        </w:rPr>
      </w:pPr>
      <w:r w:rsidRPr="009020DC">
        <w:rPr>
          <w:rFonts w:ascii="Times New Roman" w:hAnsi="Times New Roman" w:cs="Times New Roman"/>
          <w:sz w:val="20"/>
          <w:szCs w:val="20"/>
        </w:rPr>
        <w:t xml:space="preserve">3. Kurkinen M. (2017) The amyloid hypothesis is too good to be true. Alzheimers Dement Cogn Neurol. 1: DOI: 10.15761/ADCN.1000106 </w:t>
      </w:r>
    </w:p>
    <w:p w:rsidR="00B12728" w:rsidRPr="009020DC" w:rsidRDefault="00B12728" w:rsidP="009020DC">
      <w:pPr>
        <w:jc w:val="both"/>
        <w:rPr>
          <w:rFonts w:ascii="Times New Roman" w:hAnsi="Times New Roman" w:cs="Times New Roman"/>
          <w:sz w:val="20"/>
          <w:szCs w:val="20"/>
        </w:rPr>
      </w:pPr>
      <w:r w:rsidRPr="009020DC">
        <w:rPr>
          <w:rFonts w:ascii="Times New Roman" w:hAnsi="Times New Roman" w:cs="Times New Roman"/>
          <w:sz w:val="20"/>
          <w:szCs w:val="20"/>
        </w:rPr>
        <w:t xml:space="preserve">4. Cummings JL, Goldman DP, Simmons-Stern NR, Ponton E. The costs of developing treatments for Alzheimer's disease: A retrospective exploration. Alzheimers Dement. 2022 Mar;18(3):469-477. doi: 10.1002/alz.12450. Epub 2021 Sep 28. PMID: 34581499; PMCID: PMC8940715. </w:t>
      </w:r>
    </w:p>
    <w:p w:rsidR="00B12728" w:rsidRPr="009020DC" w:rsidRDefault="00B12728" w:rsidP="009020DC">
      <w:pPr>
        <w:jc w:val="both"/>
        <w:rPr>
          <w:rFonts w:ascii="Times New Roman" w:hAnsi="Times New Roman" w:cs="Times New Roman"/>
          <w:sz w:val="20"/>
          <w:szCs w:val="20"/>
        </w:rPr>
      </w:pPr>
      <w:r w:rsidRPr="009020DC">
        <w:rPr>
          <w:rFonts w:ascii="Times New Roman" w:hAnsi="Times New Roman" w:cs="Times New Roman"/>
          <w:sz w:val="20"/>
          <w:szCs w:val="20"/>
        </w:rPr>
        <w:t xml:space="preserve">5. Markku Kurkinen and Lloyd Tran- Aduhelm: The Best Hope for Alzheimer’s. Disease Patients or the Worst Decision the FDA Has Ever Made? Journal of Alzheimer’s Disease 84 (2021) 969–971- doi 10.3233/JAD-215105 </w:t>
      </w:r>
    </w:p>
    <w:p w:rsidR="009020DC" w:rsidRDefault="00B12728" w:rsidP="00D72B01">
      <w:pPr>
        <w:jc w:val="both"/>
        <w:rPr>
          <w:rFonts w:ascii="Times New Roman" w:hAnsi="Times New Roman" w:cs="Times New Roman"/>
          <w:sz w:val="20"/>
          <w:szCs w:val="20"/>
        </w:rPr>
      </w:pPr>
      <w:r w:rsidRPr="009020DC">
        <w:rPr>
          <w:rFonts w:ascii="Times New Roman" w:hAnsi="Times New Roman" w:cs="Times New Roman"/>
          <w:sz w:val="20"/>
          <w:szCs w:val="20"/>
        </w:rPr>
        <w:t>6. Lloyd Tran- Introducing the Neurogenesis Hypothesis with Phase 2A clinical data for the treatment of early onset of Alzheimer’s Disease. Alzheimer Association International Conference- San Diego, July 31 to August 2, 2022</w:t>
      </w:r>
    </w:p>
    <w:p w:rsidR="00B12728" w:rsidRPr="009020DC" w:rsidRDefault="00B12728">
      <w:pPr>
        <w:rPr>
          <w:rFonts w:ascii="Times New Roman" w:hAnsi="Times New Roman" w:cs="Times New Roman"/>
          <w:b/>
          <w:sz w:val="24"/>
          <w:szCs w:val="24"/>
        </w:rPr>
      </w:pPr>
      <w:r w:rsidRPr="009020DC">
        <w:rPr>
          <w:rFonts w:ascii="Times New Roman" w:hAnsi="Times New Roman" w:cs="Times New Roman"/>
          <w:b/>
          <w:sz w:val="24"/>
          <w:szCs w:val="24"/>
        </w:rPr>
        <w:t>Biography</w:t>
      </w:r>
    </w:p>
    <w:p w:rsidR="00B12728" w:rsidRPr="009020DC" w:rsidRDefault="00B12728" w:rsidP="00D72B01">
      <w:pPr>
        <w:jc w:val="both"/>
        <w:rPr>
          <w:rFonts w:ascii="Times New Roman" w:hAnsi="Times New Roman" w:cs="Times New Roman"/>
          <w:b/>
          <w:sz w:val="20"/>
          <w:szCs w:val="20"/>
        </w:rPr>
      </w:pPr>
      <w:r w:rsidRPr="009020DC">
        <w:rPr>
          <w:rFonts w:ascii="Times New Roman" w:hAnsi="Times New Roman" w:cs="Times New Roman"/>
          <w:sz w:val="20"/>
          <w:szCs w:val="20"/>
        </w:rPr>
        <w:t xml:space="preserve">Lloyd is the chairman and Chief Scientific Officer of Biomed Industries, Inc. A scientist by training with 25-year experience in drug development and clinical trials management. He was the principal developer and </w:t>
      </w:r>
      <w:r w:rsidRPr="009020DC">
        <w:rPr>
          <w:rFonts w:ascii="Times New Roman" w:hAnsi="Times New Roman" w:cs="Times New Roman"/>
          <w:sz w:val="20"/>
          <w:szCs w:val="20"/>
        </w:rPr>
        <w:lastRenderedPageBreak/>
        <w:t>inventor of the drug NA-831 for the treatment of neurodegenerative diseases. Prior to joining Biomed Industries, Lloyd served as the Chairman of NeuroActiva, Inc. (2017 to 2020), which is a subsidiary of by Biomed. In his early career, he was employed as a research chemist at G.D. Searle, Monsanto, and Pfizer. Lloyd graduated with a BSc</w:t>
      </w:r>
      <w:proofErr w:type="gramStart"/>
      <w:r w:rsidRPr="009020DC">
        <w:rPr>
          <w:rFonts w:ascii="Times New Roman" w:hAnsi="Times New Roman" w:cs="Times New Roman"/>
          <w:sz w:val="20"/>
          <w:szCs w:val="20"/>
        </w:rPr>
        <w:t>.(</w:t>
      </w:r>
      <w:proofErr w:type="gramEnd"/>
      <w:r w:rsidRPr="009020DC">
        <w:rPr>
          <w:rFonts w:ascii="Times New Roman" w:hAnsi="Times New Roman" w:cs="Times New Roman"/>
          <w:sz w:val="20"/>
          <w:szCs w:val="20"/>
        </w:rPr>
        <w:t xml:space="preserve">Honours) from University of Otago, New Zealand, Post Graduate Diploma in Computer Science from Unitec Institute of Technology, New Zealand, and completed a PhD program in medicinal chemistry at and Wellington University of Wellington, New Zealand. </w:t>
      </w:r>
      <w:r w:rsidRPr="009020DC">
        <w:rPr>
          <w:rFonts w:ascii="Times New Roman" w:hAnsi="Times New Roman" w:cs="Times New Roman"/>
          <w:b/>
          <w:sz w:val="20"/>
          <w:szCs w:val="20"/>
        </w:rPr>
        <w:t xml:space="preserve"> </w:t>
      </w:r>
    </w:p>
    <w:sectPr w:rsidR="00B12728" w:rsidRPr="009020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728"/>
    <w:rsid w:val="009020DC"/>
    <w:rsid w:val="00AE2F65"/>
    <w:rsid w:val="00B12728"/>
    <w:rsid w:val="00D72B01"/>
    <w:rsid w:val="00FE243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3029045">
      <w:bodyDiv w:val="1"/>
      <w:marLeft w:val="0"/>
      <w:marRight w:val="0"/>
      <w:marTop w:val="0"/>
      <w:marBottom w:val="0"/>
      <w:divBdr>
        <w:top w:val="none" w:sz="0" w:space="0" w:color="auto"/>
        <w:left w:val="none" w:sz="0" w:space="0" w:color="auto"/>
        <w:bottom w:val="none" w:sz="0" w:space="0" w:color="auto"/>
        <w:right w:val="none" w:sz="0" w:space="0" w:color="auto"/>
      </w:divBdr>
      <w:divsChild>
        <w:div w:id="13331427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omics@123</dc:creator>
  <cp:lastModifiedBy>omics@123</cp:lastModifiedBy>
  <cp:revision>2</cp:revision>
  <dcterms:created xsi:type="dcterms:W3CDTF">2022-10-21T05:26:00Z</dcterms:created>
  <dcterms:modified xsi:type="dcterms:W3CDTF">2022-10-21T05:26:00Z</dcterms:modified>
</cp:coreProperties>
</file>