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BE41F2" w14:textId="4EDE8CFF" w:rsidR="00AE3E37" w:rsidRPr="00A842C1" w:rsidRDefault="00A842C1" w:rsidP="000534A1">
      <w:pPr>
        <w:pStyle w:val="Heading1"/>
        <w:spacing w:before="170"/>
        <w:ind w:left="0"/>
        <w:jc w:val="both"/>
        <w:rPr>
          <w:color w:val="337AB7"/>
          <w:sz w:val="32"/>
          <w:szCs w:val="32"/>
          <w:lang w:val="en-GB"/>
        </w:rPr>
      </w:pPr>
      <w:bookmarkStart w:id="0" w:name="_GoBack"/>
      <w:bookmarkEnd w:id="0"/>
      <w:r w:rsidRPr="00A842C1">
        <w:rPr>
          <w:color w:val="337AB7"/>
          <w:sz w:val="32"/>
          <w:szCs w:val="32"/>
          <w:lang w:val="en-GB"/>
        </w:rPr>
        <w:t>Towards universal screening for postpartum depression in China: lessons learned from a comprehensive prevention programme in Shenzhen</w:t>
      </w:r>
    </w:p>
    <w:p w14:paraId="25AD6B16" w14:textId="207F6CD2" w:rsidR="00A842C1" w:rsidRDefault="00A842C1" w:rsidP="005973B9">
      <w:pPr>
        <w:pStyle w:val="BodyText"/>
        <w:spacing w:before="73" w:line="198" w:lineRule="exact"/>
        <w:ind w:left="100" w:right="5987"/>
        <w:rPr>
          <w:rFonts w:ascii="Arial"/>
          <w:lang w:val="en-GB"/>
        </w:rPr>
      </w:pPr>
      <w:proofErr w:type="spellStart"/>
      <w:r>
        <w:rPr>
          <w:rFonts w:ascii="Arial"/>
          <w:lang w:val="en-GB"/>
        </w:rPr>
        <w:t>Dadong</w:t>
      </w:r>
      <w:proofErr w:type="spellEnd"/>
      <w:r>
        <w:rPr>
          <w:rFonts w:ascii="Arial"/>
          <w:lang w:val="en-GB"/>
        </w:rPr>
        <w:t xml:space="preserve"> Wu</w:t>
      </w:r>
      <w:r w:rsidR="00F4700B" w:rsidRPr="00F4700B">
        <w:rPr>
          <w:rFonts w:ascii="Arial"/>
          <w:vertAlign w:val="superscript"/>
          <w:lang w:val="en-GB"/>
        </w:rPr>
        <w:t>*</w:t>
      </w:r>
      <w:r>
        <w:rPr>
          <w:rFonts w:ascii="Arial"/>
          <w:lang w:val="en-GB"/>
        </w:rPr>
        <w:t xml:space="preserve">, Lei Jiang, </w:t>
      </w:r>
      <w:proofErr w:type="spellStart"/>
      <w:r>
        <w:rPr>
          <w:rFonts w:ascii="Arial"/>
          <w:lang w:val="en-GB"/>
        </w:rPr>
        <w:t>Siqi</w:t>
      </w:r>
      <w:proofErr w:type="spellEnd"/>
      <w:r>
        <w:rPr>
          <w:rFonts w:ascii="Arial"/>
          <w:lang w:val="en-GB"/>
        </w:rPr>
        <w:t xml:space="preserve"> Chen, </w:t>
      </w:r>
      <w:proofErr w:type="spellStart"/>
      <w:r>
        <w:rPr>
          <w:rFonts w:ascii="Arial"/>
          <w:lang w:val="en-GB"/>
        </w:rPr>
        <w:t>Guanglin</w:t>
      </w:r>
      <w:proofErr w:type="spellEnd"/>
      <w:r>
        <w:rPr>
          <w:rFonts w:ascii="Arial"/>
          <w:lang w:val="en-GB"/>
        </w:rPr>
        <w:t xml:space="preserve"> Zhao </w:t>
      </w:r>
      <w:r w:rsidRPr="00A842C1">
        <w:rPr>
          <w:rFonts w:ascii="Arial"/>
          <w:lang w:val="en-GB"/>
        </w:rPr>
        <w:t>Affiliated Shenzhen Maternity &amp; Child Healthcare Hospital, Southern Medical University, Shenzhen, China</w:t>
      </w:r>
    </w:p>
    <w:p w14:paraId="49AB1DF4" w14:textId="77777777" w:rsidR="00AE3E37" w:rsidRPr="00A842C1" w:rsidRDefault="00AE3E37" w:rsidP="00A842C1">
      <w:pPr>
        <w:pStyle w:val="BodyText"/>
        <w:spacing w:before="73" w:line="198" w:lineRule="exact"/>
        <w:ind w:left="100" w:right="5987"/>
        <w:rPr>
          <w:rFonts w:ascii="Arial"/>
          <w:lang w:val="en-GB"/>
        </w:rPr>
      </w:pPr>
    </w:p>
    <w:p w14:paraId="44A90071" w14:textId="77777777" w:rsidR="00AE3E37" w:rsidRPr="00A842C1" w:rsidRDefault="00AE3E37">
      <w:pPr>
        <w:rPr>
          <w:rFonts w:ascii="Arial"/>
          <w:sz w:val="21"/>
          <w:lang w:val="en-GB"/>
        </w:rPr>
        <w:sectPr w:rsidR="00AE3E37" w:rsidRPr="00A842C1" w:rsidSect="008E5477">
          <w:footerReference w:type="default" r:id="rId8"/>
          <w:type w:val="continuous"/>
          <w:pgSz w:w="11910" w:h="16840"/>
          <w:pgMar w:top="995" w:right="600" w:bottom="840" w:left="620" w:header="0" w:footer="0" w:gutter="0"/>
          <w:cols w:space="720"/>
          <w:docGrid w:linePitch="299"/>
        </w:sectPr>
      </w:pPr>
    </w:p>
    <w:p w14:paraId="2282D0FC" w14:textId="6B7CA708" w:rsidR="00AE3E37" w:rsidRPr="00A842C1" w:rsidRDefault="00A9710C">
      <w:pPr>
        <w:pStyle w:val="Heading3"/>
        <w:spacing w:before="147"/>
        <w:jc w:val="both"/>
        <w:rPr>
          <w:lang w:val="en-GB"/>
        </w:rPr>
      </w:pPr>
      <w:r w:rsidRPr="00A842C1">
        <w:rPr>
          <w:color w:val="BF5A14"/>
          <w:lang w:val="en-GB"/>
        </w:rPr>
        <w:lastRenderedPageBreak/>
        <w:t>Abstract</w:t>
      </w:r>
    </w:p>
    <w:p w14:paraId="4146BDEF" w14:textId="77777777" w:rsidR="00A842C1" w:rsidRDefault="00A842C1" w:rsidP="00A842C1">
      <w:pPr>
        <w:tabs>
          <w:tab w:val="left" w:pos="384"/>
        </w:tabs>
        <w:spacing w:before="103" w:line="216" w:lineRule="exact"/>
        <w:ind w:left="100" w:right="138"/>
        <w:jc w:val="both"/>
        <w:rPr>
          <w:rFonts w:asciiTheme="minorHAnsi" w:hAnsiTheme="minorHAnsi" w:cstheme="minorHAnsi"/>
          <w:b/>
          <w:bCs/>
          <w:sz w:val="18"/>
          <w:szCs w:val="18"/>
        </w:rPr>
      </w:pPr>
      <w:r w:rsidRPr="00A842C1">
        <w:rPr>
          <w:rFonts w:asciiTheme="minorHAnsi" w:hAnsiTheme="minorHAnsi" w:cstheme="minorHAnsi"/>
          <w:b/>
          <w:bCs/>
          <w:sz w:val="18"/>
          <w:szCs w:val="18"/>
        </w:rPr>
        <w:t xml:space="preserve">Purpose: </w:t>
      </w:r>
      <w:r w:rsidRPr="00A842C1">
        <w:rPr>
          <w:rFonts w:asciiTheme="minorHAnsi" w:hAnsiTheme="minorHAnsi" w:cstheme="minorHAnsi"/>
          <w:sz w:val="18"/>
          <w:szCs w:val="18"/>
        </w:rPr>
        <w:t xml:space="preserve">This </w:t>
      </w:r>
      <w:r w:rsidRPr="00A842C1">
        <w:rPr>
          <w:rFonts w:ascii="Calibri" w:hAnsi="Calibri" w:cs="Calibri"/>
          <w:sz w:val="18"/>
          <w:lang w:val="en-GB"/>
        </w:rPr>
        <w:t>study</w:t>
      </w:r>
      <w:r w:rsidRPr="00A842C1">
        <w:rPr>
          <w:rFonts w:asciiTheme="minorHAnsi" w:hAnsiTheme="minorHAnsi" w:cstheme="minorHAnsi"/>
          <w:sz w:val="18"/>
          <w:szCs w:val="18"/>
        </w:rPr>
        <w:t xml:space="preserve"> was conducted to assess the real-world efficacy of a universal </w:t>
      </w:r>
      <w:proofErr w:type="spellStart"/>
      <w:r w:rsidRPr="00A842C1">
        <w:rPr>
          <w:rFonts w:asciiTheme="minorHAnsi" w:hAnsiTheme="minorHAnsi" w:cstheme="minorHAnsi"/>
          <w:sz w:val="18"/>
          <w:szCs w:val="18"/>
        </w:rPr>
        <w:t>programme</w:t>
      </w:r>
      <w:proofErr w:type="spellEnd"/>
      <w:r w:rsidRPr="00A842C1">
        <w:rPr>
          <w:rFonts w:asciiTheme="minorHAnsi" w:hAnsiTheme="minorHAnsi" w:cstheme="minorHAnsi"/>
          <w:sz w:val="18"/>
          <w:szCs w:val="18"/>
        </w:rPr>
        <w:t xml:space="preserve"> for the prevention of postpartum depression (PPD) in Shenzhen. Given the lack of evidence on routine PPD screening and intervention in China, it sought to provide insights for </w:t>
      </w:r>
      <w:proofErr w:type="spellStart"/>
      <w:r w:rsidRPr="00A842C1">
        <w:rPr>
          <w:rFonts w:asciiTheme="minorHAnsi" w:hAnsiTheme="minorHAnsi" w:cstheme="minorHAnsi"/>
          <w:sz w:val="18"/>
          <w:szCs w:val="18"/>
        </w:rPr>
        <w:t>programme</w:t>
      </w:r>
      <w:proofErr w:type="spellEnd"/>
      <w:r w:rsidRPr="00A842C1">
        <w:rPr>
          <w:rFonts w:asciiTheme="minorHAnsi" w:hAnsiTheme="minorHAnsi" w:cstheme="minorHAnsi"/>
          <w:sz w:val="18"/>
          <w:szCs w:val="18"/>
        </w:rPr>
        <w:t xml:space="preserve"> planning and implementation, particularly in relation to achievement of the targets set by the first national guidelines for PPD prevention and treatment.</w:t>
      </w:r>
      <w:r w:rsidRPr="00A842C1">
        <w:rPr>
          <w:rFonts w:asciiTheme="minorHAnsi" w:hAnsiTheme="minorHAnsi" w:cstheme="minorHAnsi"/>
          <w:b/>
          <w:bCs/>
          <w:sz w:val="18"/>
          <w:szCs w:val="18"/>
        </w:rPr>
        <w:t xml:space="preserve"> </w:t>
      </w:r>
    </w:p>
    <w:p w14:paraId="3137BD09" w14:textId="77777777" w:rsidR="00A842C1" w:rsidRDefault="00A842C1" w:rsidP="00A842C1">
      <w:pPr>
        <w:tabs>
          <w:tab w:val="left" w:pos="384"/>
        </w:tabs>
        <w:spacing w:before="103" w:line="216" w:lineRule="exact"/>
        <w:ind w:left="100" w:right="138"/>
        <w:jc w:val="both"/>
        <w:rPr>
          <w:rFonts w:asciiTheme="minorHAnsi" w:hAnsiTheme="minorHAnsi" w:cstheme="minorHAnsi"/>
          <w:sz w:val="18"/>
          <w:szCs w:val="18"/>
        </w:rPr>
      </w:pPr>
      <w:r w:rsidRPr="00A842C1">
        <w:rPr>
          <w:rFonts w:asciiTheme="minorHAnsi" w:hAnsiTheme="minorHAnsi" w:cstheme="minorHAnsi"/>
          <w:b/>
          <w:bCs/>
          <w:sz w:val="18"/>
          <w:szCs w:val="18"/>
        </w:rPr>
        <w:t xml:space="preserve">Methods: </w:t>
      </w:r>
      <w:r w:rsidRPr="00A842C1">
        <w:rPr>
          <w:rFonts w:asciiTheme="minorHAnsi" w:hAnsiTheme="minorHAnsi" w:cstheme="minorHAnsi"/>
          <w:sz w:val="18"/>
          <w:szCs w:val="18"/>
        </w:rPr>
        <w:t>Using routine health information system (HIS) data, the PPD screening, referral and intervention rates for 2015-2019 were calculated and compared between years. Trends of variables were tested by using trend χ</w:t>
      </w:r>
      <w:r w:rsidRPr="00A842C1">
        <w:rPr>
          <w:rFonts w:asciiTheme="minorHAnsi" w:hAnsiTheme="minorHAnsi" w:cstheme="minorHAnsi"/>
          <w:sz w:val="18"/>
          <w:szCs w:val="18"/>
          <w:vertAlign w:val="superscript"/>
        </w:rPr>
        <w:t>2</w:t>
      </w:r>
      <w:r w:rsidRPr="00A842C1">
        <w:rPr>
          <w:rFonts w:asciiTheme="minorHAnsi" w:hAnsiTheme="minorHAnsi" w:cstheme="minorHAnsi"/>
          <w:sz w:val="18"/>
          <w:szCs w:val="18"/>
        </w:rPr>
        <w:t xml:space="preserve">. </w:t>
      </w:r>
    </w:p>
    <w:p w14:paraId="57ECFD4B" w14:textId="77777777" w:rsidR="00A842C1" w:rsidRDefault="00A842C1" w:rsidP="00A842C1">
      <w:pPr>
        <w:tabs>
          <w:tab w:val="left" w:pos="384"/>
        </w:tabs>
        <w:spacing w:before="103" w:line="216" w:lineRule="exact"/>
        <w:ind w:left="100" w:right="138"/>
        <w:jc w:val="both"/>
        <w:rPr>
          <w:rFonts w:asciiTheme="minorHAnsi" w:hAnsiTheme="minorHAnsi" w:cstheme="minorHAnsi"/>
          <w:sz w:val="18"/>
          <w:szCs w:val="18"/>
        </w:rPr>
      </w:pPr>
      <w:r w:rsidRPr="00A842C1">
        <w:rPr>
          <w:rFonts w:asciiTheme="minorHAnsi" w:hAnsiTheme="minorHAnsi" w:cstheme="minorHAnsi"/>
          <w:b/>
          <w:bCs/>
          <w:sz w:val="18"/>
          <w:szCs w:val="18"/>
        </w:rPr>
        <w:t xml:space="preserve">Results: </w:t>
      </w:r>
      <w:r w:rsidRPr="00A842C1">
        <w:rPr>
          <w:rFonts w:asciiTheme="minorHAnsi" w:hAnsiTheme="minorHAnsi" w:cstheme="minorHAnsi"/>
          <w:sz w:val="18"/>
          <w:szCs w:val="18"/>
        </w:rPr>
        <w:t xml:space="preserve">The </w:t>
      </w:r>
      <w:proofErr w:type="spellStart"/>
      <w:r w:rsidRPr="00A842C1">
        <w:rPr>
          <w:rFonts w:asciiTheme="minorHAnsi" w:hAnsiTheme="minorHAnsi" w:cstheme="minorHAnsi"/>
          <w:sz w:val="18"/>
          <w:szCs w:val="18"/>
        </w:rPr>
        <w:t>programme</w:t>
      </w:r>
      <w:proofErr w:type="spellEnd"/>
      <w:r w:rsidRPr="00A842C1">
        <w:rPr>
          <w:rFonts w:asciiTheme="minorHAnsi" w:hAnsiTheme="minorHAnsi" w:cstheme="minorHAnsi"/>
          <w:sz w:val="18"/>
          <w:szCs w:val="18"/>
        </w:rPr>
        <w:t xml:space="preserve"> screened 137,761 to 178,857 women for PPD every year with the coverage among all postpartum women increased steadily from 71.1% to 82. 5% (χ</w:t>
      </w:r>
      <w:r w:rsidRPr="00A842C1">
        <w:rPr>
          <w:rFonts w:asciiTheme="minorHAnsi" w:hAnsiTheme="minorHAnsi" w:cstheme="minorHAnsi"/>
          <w:sz w:val="18"/>
          <w:szCs w:val="18"/>
          <w:vertAlign w:val="superscript"/>
        </w:rPr>
        <w:t>2</w:t>
      </w:r>
      <w:r w:rsidRPr="00A842C1">
        <w:rPr>
          <w:rFonts w:asciiTheme="minorHAnsi" w:hAnsiTheme="minorHAnsi" w:cstheme="minorHAnsi"/>
          <w:sz w:val="18"/>
          <w:szCs w:val="18"/>
        </w:rPr>
        <w:t xml:space="preserve"> = 10145.251, p &lt; 0.001). The PPD-positive rate maintained between 4.1% and 4.9%. However, although referral messages were given to an increased high percentage of PPD-positive women (χ</w:t>
      </w:r>
      <w:r w:rsidRPr="00A842C1">
        <w:rPr>
          <w:rFonts w:asciiTheme="minorHAnsi" w:hAnsiTheme="minorHAnsi" w:cstheme="minorHAnsi"/>
          <w:sz w:val="18"/>
          <w:szCs w:val="18"/>
          <w:vertAlign w:val="superscript"/>
        </w:rPr>
        <w:t>2</w:t>
      </w:r>
      <w:r w:rsidRPr="00A842C1">
        <w:rPr>
          <w:rFonts w:asciiTheme="minorHAnsi" w:hAnsiTheme="minorHAnsi" w:cstheme="minorHAnsi"/>
          <w:sz w:val="18"/>
          <w:szCs w:val="18"/>
        </w:rPr>
        <w:t xml:space="preserve"> = 1090.908, p &lt; 0.001), the intervention rate (i.e., referral uptake) was low as 4.6% to 26.9% despite an overall increasing trend (χ</w:t>
      </w:r>
      <w:r w:rsidRPr="00A842C1">
        <w:rPr>
          <w:rFonts w:asciiTheme="minorHAnsi" w:hAnsiTheme="minorHAnsi" w:cstheme="minorHAnsi"/>
          <w:sz w:val="18"/>
          <w:szCs w:val="18"/>
          <w:vertAlign w:val="superscript"/>
        </w:rPr>
        <w:t>2</w:t>
      </w:r>
      <w:r w:rsidRPr="00A842C1">
        <w:rPr>
          <w:rFonts w:asciiTheme="minorHAnsi" w:hAnsiTheme="minorHAnsi" w:cstheme="minorHAnsi"/>
          <w:sz w:val="18"/>
          <w:szCs w:val="18"/>
        </w:rPr>
        <w:t xml:space="preserve"> = 1656.943, p &lt; 0.001). </w:t>
      </w:r>
    </w:p>
    <w:p w14:paraId="422B3C11" w14:textId="425BD451" w:rsidR="00A842C1" w:rsidRPr="00A842C1" w:rsidRDefault="00A842C1" w:rsidP="00A842C1">
      <w:pPr>
        <w:tabs>
          <w:tab w:val="left" w:pos="384"/>
        </w:tabs>
        <w:spacing w:before="103" w:line="216" w:lineRule="exact"/>
        <w:ind w:left="100" w:right="138"/>
        <w:jc w:val="both"/>
        <w:rPr>
          <w:rFonts w:asciiTheme="minorHAnsi" w:hAnsiTheme="minorHAnsi" w:cstheme="minorHAnsi"/>
          <w:sz w:val="18"/>
          <w:szCs w:val="18"/>
        </w:rPr>
      </w:pPr>
      <w:r w:rsidRPr="00A842C1">
        <w:rPr>
          <w:rFonts w:asciiTheme="minorHAnsi" w:hAnsiTheme="minorHAnsi" w:cstheme="minorHAnsi"/>
          <w:b/>
          <w:bCs/>
          <w:sz w:val="18"/>
          <w:szCs w:val="18"/>
        </w:rPr>
        <w:t xml:space="preserve">Conclusion: </w:t>
      </w:r>
      <w:r w:rsidRPr="00A842C1">
        <w:rPr>
          <w:rFonts w:asciiTheme="minorHAnsi" w:hAnsiTheme="minorHAnsi" w:cstheme="minorHAnsi"/>
          <w:sz w:val="18"/>
          <w:szCs w:val="18"/>
        </w:rPr>
        <w:t xml:space="preserve">This study demonstrated the high efficacy of Shenzhen’s comprehensive PPD prevention </w:t>
      </w:r>
      <w:proofErr w:type="spellStart"/>
      <w:r w:rsidRPr="00A842C1">
        <w:rPr>
          <w:rFonts w:asciiTheme="minorHAnsi" w:hAnsiTheme="minorHAnsi" w:cstheme="minorHAnsi"/>
          <w:sz w:val="18"/>
          <w:szCs w:val="18"/>
        </w:rPr>
        <w:t>programme</w:t>
      </w:r>
      <w:proofErr w:type="spellEnd"/>
      <w:r w:rsidRPr="00A842C1">
        <w:rPr>
          <w:rFonts w:asciiTheme="minorHAnsi" w:hAnsiTheme="minorHAnsi" w:cstheme="minorHAnsi"/>
          <w:sz w:val="18"/>
          <w:szCs w:val="18"/>
        </w:rPr>
        <w:t xml:space="preserve"> initiated in 2013. The resultant rise in the screening rate among all postpartum women, together with a high referral rate of those screened positive, have contributed to the city’s relatively low PPD prevalence. PPD screening and intervention should be included as part of basic public health services to ensure universal coverage and specific strategies should be adopted to ensure referral uptake.</w:t>
      </w:r>
    </w:p>
    <w:p w14:paraId="0F981689" w14:textId="281586B8" w:rsidR="00AE3E37" w:rsidRDefault="00AE3E37" w:rsidP="00A842C1">
      <w:pPr>
        <w:tabs>
          <w:tab w:val="left" w:pos="384"/>
        </w:tabs>
        <w:spacing w:before="103" w:line="216" w:lineRule="exact"/>
        <w:ind w:left="100" w:right="138"/>
        <w:jc w:val="both"/>
        <w:rPr>
          <w:rFonts w:asciiTheme="minorHAnsi" w:hAnsiTheme="minorHAnsi" w:cstheme="minorHAnsi"/>
          <w:sz w:val="18"/>
          <w:szCs w:val="18"/>
        </w:rPr>
      </w:pPr>
    </w:p>
    <w:p w14:paraId="16974284" w14:textId="3DA6C2B6" w:rsidR="003E63CD" w:rsidRPr="00A842C1" w:rsidRDefault="003E63CD" w:rsidP="003E63CD">
      <w:pPr>
        <w:tabs>
          <w:tab w:val="left" w:pos="384"/>
        </w:tabs>
        <w:spacing w:before="103" w:line="216" w:lineRule="exact"/>
        <w:ind w:left="100" w:right="138"/>
        <w:jc w:val="both"/>
        <w:rPr>
          <w:rFonts w:ascii="Arial"/>
          <w:b/>
          <w:sz w:val="20"/>
          <w:lang w:val="en-GB"/>
        </w:rPr>
      </w:pPr>
      <w:r w:rsidRPr="00A842C1">
        <w:rPr>
          <w:rFonts w:ascii="Arial"/>
          <w:b/>
          <w:color w:val="BF5A14"/>
          <w:sz w:val="20"/>
          <w:lang w:val="en-GB"/>
        </w:rPr>
        <w:t>Recent Publications</w:t>
      </w:r>
    </w:p>
    <w:p w14:paraId="43DF7966" w14:textId="6E646DB7" w:rsidR="003E63CD" w:rsidRDefault="003E63CD" w:rsidP="003E63CD">
      <w:pPr>
        <w:pStyle w:val="EndNoteBibliography"/>
        <w:numPr>
          <w:ilvl w:val="0"/>
          <w:numId w:val="3"/>
        </w:numPr>
        <w:spacing w:after="0"/>
        <w:rPr>
          <w:sz w:val="18"/>
          <w:szCs w:val="18"/>
        </w:rPr>
      </w:pPr>
      <w:r w:rsidRPr="003E63CD">
        <w:rPr>
          <w:sz w:val="18"/>
          <w:szCs w:val="18"/>
        </w:rPr>
        <w:t xml:space="preserve">Wu, D., Jiang, L., &amp; Zhao, G. (2022). Additional evidence on prevalence and predictors of postpartum depression in China: A study of 300,000 puerperal women covered by a community-based routine screening programme. </w:t>
      </w:r>
      <w:r w:rsidRPr="003E63CD">
        <w:rPr>
          <w:i/>
          <w:sz w:val="18"/>
          <w:szCs w:val="18"/>
        </w:rPr>
        <w:t>J Affect Disord, 307</w:t>
      </w:r>
      <w:r w:rsidRPr="003E63CD">
        <w:rPr>
          <w:sz w:val="18"/>
          <w:szCs w:val="18"/>
        </w:rPr>
        <w:t>, 264-270.</w:t>
      </w:r>
    </w:p>
    <w:p w14:paraId="5CDE058D" w14:textId="2833CF6A" w:rsidR="003E63CD" w:rsidRPr="003935F7" w:rsidRDefault="003935F7" w:rsidP="003935F7">
      <w:pPr>
        <w:pStyle w:val="EndNoteBibliography"/>
        <w:numPr>
          <w:ilvl w:val="0"/>
          <w:numId w:val="3"/>
        </w:numPr>
        <w:spacing w:after="0"/>
        <w:rPr>
          <w:rFonts w:asciiTheme="minorHAnsi" w:hAnsiTheme="minorHAnsi" w:cstheme="minorHAnsi"/>
          <w:sz w:val="18"/>
          <w:szCs w:val="18"/>
        </w:rPr>
      </w:pPr>
      <w:r w:rsidRPr="003935F7">
        <w:rPr>
          <w:sz w:val="18"/>
          <w:szCs w:val="18"/>
        </w:rPr>
        <w:t xml:space="preserve">Qi, W., Zhao, F., Liu, Y., Li, Q., &amp; Hu, J. (2021). Psychosocial risk factors for postpartum depression in Chinese women: a meta-analysis. </w:t>
      </w:r>
      <w:r w:rsidRPr="003935F7">
        <w:rPr>
          <w:i/>
          <w:sz w:val="18"/>
          <w:szCs w:val="18"/>
        </w:rPr>
        <w:t>BMC Pregnancy Childbirth, 21</w:t>
      </w:r>
      <w:r w:rsidRPr="003935F7">
        <w:rPr>
          <w:sz w:val="18"/>
          <w:szCs w:val="18"/>
        </w:rPr>
        <w:t>(1), 174.</w:t>
      </w:r>
    </w:p>
    <w:p w14:paraId="58A54814" w14:textId="77777777" w:rsidR="00AE3E37" w:rsidRPr="003E63CD" w:rsidRDefault="00A9710C" w:rsidP="003E63CD">
      <w:pPr>
        <w:pStyle w:val="Heading3"/>
        <w:spacing w:before="147"/>
        <w:jc w:val="both"/>
        <w:rPr>
          <w:color w:val="BF5A14"/>
          <w:lang w:val="en-GB"/>
        </w:rPr>
      </w:pPr>
      <w:r w:rsidRPr="00A842C1">
        <w:rPr>
          <w:b w:val="0"/>
          <w:lang w:val="en-GB"/>
        </w:rPr>
        <w:br w:type="column"/>
      </w:r>
      <w:r w:rsidRPr="00A842C1">
        <w:rPr>
          <w:color w:val="BF5A14"/>
          <w:lang w:val="en-GB"/>
        </w:rPr>
        <w:lastRenderedPageBreak/>
        <w:t>Image</w:t>
      </w:r>
    </w:p>
    <w:p w14:paraId="57CB1DF3" w14:textId="5A874F7A" w:rsidR="00AE3E37" w:rsidRPr="00A842C1" w:rsidRDefault="00A842C1" w:rsidP="003E63CD">
      <w:pPr>
        <w:pStyle w:val="BodyText"/>
        <w:spacing w:before="2"/>
        <w:jc w:val="center"/>
        <w:rPr>
          <w:rFonts w:ascii="Arial"/>
          <w:b/>
          <w:sz w:val="16"/>
          <w:lang w:val="en-GB"/>
        </w:rPr>
      </w:pPr>
      <w:r w:rsidRPr="00A842C1">
        <w:rPr>
          <w:rFonts w:ascii="Arial"/>
          <w:b/>
          <w:noProof/>
          <w:sz w:val="16"/>
          <w:lang w:val="en-IN" w:eastAsia="en-IN"/>
        </w:rPr>
        <w:drawing>
          <wp:inline distT="0" distB="0" distL="0" distR="0" wp14:anchorId="4B3A4494" wp14:editId="6FEB441B">
            <wp:extent cx="3098021" cy="3971925"/>
            <wp:effectExtent l="0" t="0" r="7620" b="0"/>
            <wp:docPr id="1"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示&#10;&#10;描述已自动生成"/>
                    <pic:cNvPicPr/>
                  </pic:nvPicPr>
                  <pic:blipFill rotWithShape="1">
                    <a:blip r:embed="rId9"/>
                    <a:srcRect l="1748" r="3126"/>
                    <a:stretch/>
                  </pic:blipFill>
                  <pic:spPr bwMode="auto">
                    <a:xfrm>
                      <a:off x="0" y="0"/>
                      <a:ext cx="3111177" cy="3988792"/>
                    </a:xfrm>
                    <a:prstGeom prst="rect">
                      <a:avLst/>
                    </a:prstGeom>
                    <a:ln>
                      <a:noFill/>
                    </a:ln>
                    <a:extLst>
                      <a:ext uri="{53640926-AAD7-44D8-BBD7-CCE9431645EC}">
                        <a14:shadowObscured xmlns:a14="http://schemas.microsoft.com/office/drawing/2010/main"/>
                      </a:ext>
                    </a:extLst>
                  </pic:spPr>
                </pic:pic>
              </a:graphicData>
            </a:graphic>
          </wp:inline>
        </w:drawing>
      </w:r>
    </w:p>
    <w:p w14:paraId="6585024D" w14:textId="77777777" w:rsidR="00A842C1" w:rsidRPr="00A842C1" w:rsidRDefault="00A842C1" w:rsidP="00A842C1">
      <w:pPr>
        <w:tabs>
          <w:tab w:val="left" w:pos="384"/>
        </w:tabs>
        <w:spacing w:before="103" w:line="216" w:lineRule="exact"/>
        <w:ind w:left="100" w:right="138"/>
        <w:jc w:val="both"/>
        <w:rPr>
          <w:rFonts w:asciiTheme="minorHAnsi" w:hAnsiTheme="minorHAnsi" w:cstheme="minorHAnsi"/>
          <w:sz w:val="18"/>
          <w:szCs w:val="18"/>
        </w:rPr>
      </w:pPr>
    </w:p>
    <w:p w14:paraId="2648E8B1" w14:textId="1EDD90F4" w:rsidR="005973B9" w:rsidRPr="00A842C1" w:rsidRDefault="005973B9" w:rsidP="00A842C1">
      <w:pPr>
        <w:tabs>
          <w:tab w:val="left" w:pos="384"/>
        </w:tabs>
        <w:spacing w:before="103" w:line="216" w:lineRule="exact"/>
        <w:ind w:left="100" w:right="138"/>
        <w:jc w:val="both"/>
        <w:rPr>
          <w:rFonts w:ascii="Arial"/>
          <w:b/>
          <w:sz w:val="20"/>
          <w:lang w:val="en-GB"/>
        </w:rPr>
      </w:pPr>
      <w:r w:rsidRPr="00A842C1">
        <w:rPr>
          <w:rFonts w:ascii="Arial"/>
          <w:b/>
          <w:color w:val="BF5A14"/>
          <w:sz w:val="20"/>
          <w:lang w:val="en-GB"/>
        </w:rPr>
        <w:t>Recent Publications</w:t>
      </w:r>
    </w:p>
    <w:p w14:paraId="57AE7F3E" w14:textId="5FF057E3" w:rsidR="003E63CD" w:rsidRDefault="003935F7" w:rsidP="003935F7">
      <w:pPr>
        <w:pStyle w:val="EndNoteBibliography"/>
        <w:numPr>
          <w:ilvl w:val="0"/>
          <w:numId w:val="3"/>
        </w:numPr>
        <w:spacing w:after="0"/>
        <w:rPr>
          <w:sz w:val="18"/>
          <w:szCs w:val="18"/>
        </w:rPr>
      </w:pPr>
      <w:r w:rsidRPr="003935F7">
        <w:rPr>
          <w:sz w:val="18"/>
          <w:szCs w:val="18"/>
        </w:rPr>
        <w:t xml:space="preserve">Yin, J., Nisar, A., Waqas, A., Guo, Y., Qi, W. L., Wang, D., . . . Li, X. (2020). Psychosocial interventions on perinatal depression in China: A systematic review and meta-analysis. </w:t>
      </w:r>
      <w:r w:rsidRPr="003935F7">
        <w:rPr>
          <w:i/>
          <w:sz w:val="18"/>
          <w:szCs w:val="18"/>
        </w:rPr>
        <w:t>J Affect Disord, 271</w:t>
      </w:r>
      <w:r w:rsidRPr="003935F7">
        <w:rPr>
          <w:sz w:val="18"/>
          <w:szCs w:val="18"/>
        </w:rPr>
        <w:t>, 310-327.</w:t>
      </w:r>
    </w:p>
    <w:p w14:paraId="2268860B" w14:textId="593DA029" w:rsidR="003935F7" w:rsidRPr="003935F7" w:rsidRDefault="003935F7" w:rsidP="003935F7">
      <w:pPr>
        <w:pStyle w:val="EndNoteBibliography"/>
        <w:numPr>
          <w:ilvl w:val="0"/>
          <w:numId w:val="3"/>
        </w:numPr>
        <w:spacing w:after="0"/>
        <w:rPr>
          <w:sz w:val="18"/>
          <w:szCs w:val="18"/>
        </w:rPr>
      </w:pPr>
      <w:r w:rsidRPr="003935F7">
        <w:rPr>
          <w:sz w:val="18"/>
          <w:szCs w:val="18"/>
        </w:rPr>
        <w:t xml:space="preserve">Gong, W., Jin, X., Cheng, K. K., Caine, E. D., Lehman, R., &amp; Xu, D. R. (2020). Chinese Women's Acceptance and Uptake of Referral after Screening for Perinatal Depression. </w:t>
      </w:r>
      <w:r w:rsidRPr="003935F7">
        <w:rPr>
          <w:i/>
          <w:sz w:val="18"/>
          <w:szCs w:val="18"/>
        </w:rPr>
        <w:t>Int J Environ Res Public Health, 17</w:t>
      </w:r>
      <w:r w:rsidRPr="003935F7">
        <w:rPr>
          <w:sz w:val="18"/>
          <w:szCs w:val="18"/>
        </w:rPr>
        <w:t>(22).</w:t>
      </w:r>
    </w:p>
    <w:p w14:paraId="65DD69E4" w14:textId="77777777" w:rsidR="00AE3E37" w:rsidRPr="00A842C1" w:rsidRDefault="008756E6">
      <w:pPr>
        <w:spacing w:line="200" w:lineRule="exact"/>
        <w:jc w:val="both"/>
        <w:rPr>
          <w:rFonts w:ascii="Calibri" w:hAnsi="Calibri"/>
          <w:lang w:val="en-GB"/>
        </w:rPr>
        <w:sectPr w:rsidR="00AE3E37" w:rsidRPr="00A842C1" w:rsidSect="008E5477">
          <w:type w:val="continuous"/>
          <w:pgSz w:w="11910" w:h="16840"/>
          <w:pgMar w:top="995" w:right="600" w:bottom="840" w:left="620" w:header="720" w:footer="720" w:gutter="0"/>
          <w:cols w:num="2" w:space="720" w:equalWidth="0">
            <w:col w:w="5214" w:space="138"/>
            <w:col w:w="5338"/>
          </w:cols>
        </w:sectPr>
      </w:pPr>
      <w:r w:rsidRPr="00A842C1">
        <w:rPr>
          <w:rFonts w:ascii="Calibri" w:hAnsi="Calibri"/>
          <w:lang w:val="en-GB"/>
        </w:rPr>
        <w:t xml:space="preserve">   </w:t>
      </w:r>
    </w:p>
    <w:p w14:paraId="7A343B46" w14:textId="77777777" w:rsidR="00AE3E37" w:rsidRPr="00A842C1" w:rsidRDefault="00AE3E37">
      <w:pPr>
        <w:pStyle w:val="BodyText"/>
        <w:rPr>
          <w:rFonts w:ascii="Calibri"/>
          <w:sz w:val="20"/>
          <w:lang w:val="en-GB"/>
        </w:rPr>
      </w:pPr>
    </w:p>
    <w:p w14:paraId="40D2D867" w14:textId="77777777" w:rsidR="00AE3E37" w:rsidRPr="00A842C1" w:rsidRDefault="00292ED9">
      <w:pPr>
        <w:pStyle w:val="BodyText"/>
        <w:spacing w:line="40" w:lineRule="exact"/>
        <w:ind w:left="2202"/>
        <w:rPr>
          <w:rFonts w:ascii="Calibri"/>
          <w:sz w:val="4"/>
          <w:lang w:val="en-GB"/>
        </w:rPr>
      </w:pPr>
      <w:r w:rsidRPr="00A842C1">
        <w:rPr>
          <w:rFonts w:ascii="Calibri"/>
          <w:noProof/>
          <w:sz w:val="4"/>
          <w:lang w:val="en-IN" w:eastAsia="en-IN"/>
        </w:rPr>
        <mc:AlternateContent>
          <mc:Choice Requires="wpg">
            <w:drawing>
              <wp:inline distT="0" distB="0" distL="0" distR="0" wp14:anchorId="162E8044" wp14:editId="10FB693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CCC6B2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3C4B783" w14:textId="0F59273C" w:rsidR="00AE3E37" w:rsidRPr="00A842C1" w:rsidRDefault="00F4700B" w:rsidP="00404E5B">
      <w:pPr>
        <w:spacing w:before="92"/>
        <w:ind w:right="4234"/>
        <w:rPr>
          <w:rFonts w:ascii="Arial"/>
          <w:lang w:val="en-GB"/>
        </w:rPr>
      </w:pPr>
      <w:r>
        <w:rPr>
          <w:noProof/>
          <w:lang w:val="en-IN" w:eastAsia="en-IN"/>
        </w:rPr>
        <w:drawing>
          <wp:anchor distT="0" distB="0" distL="114300" distR="114300" simplePos="0" relativeHeight="251659264" behindDoc="0" locked="0" layoutInCell="1" allowOverlap="1" wp14:anchorId="710A9FDF" wp14:editId="1A942E89">
            <wp:simplePos x="0" y="0"/>
            <wp:positionH relativeFrom="column">
              <wp:posOffset>4580572</wp:posOffset>
            </wp:positionH>
            <wp:positionV relativeFrom="paragraph">
              <wp:posOffset>135573</wp:posOffset>
            </wp:positionV>
            <wp:extent cx="1947545" cy="531495"/>
            <wp:effectExtent l="0" t="0" r="0" b="1905"/>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947545" cy="531495"/>
                    </a:xfrm>
                    <a:prstGeom prst="rect">
                      <a:avLst/>
                    </a:prstGeom>
                  </pic:spPr>
                </pic:pic>
              </a:graphicData>
            </a:graphic>
          </wp:anchor>
        </w:drawing>
      </w:r>
      <w:r w:rsidR="008756E6" w:rsidRPr="00A842C1">
        <w:rPr>
          <w:noProof/>
          <w:lang w:val="en-GB"/>
        </w:rPr>
        <w:t xml:space="preserve">              </w:t>
      </w:r>
      <w:r w:rsidRPr="00F4700B">
        <w:rPr>
          <w:noProof/>
          <w:lang w:val="en-IN" w:eastAsia="en-IN"/>
        </w:rPr>
        <w:drawing>
          <wp:inline distT="0" distB="0" distL="0" distR="0" wp14:anchorId="1A6E46DB" wp14:editId="410290AB">
            <wp:extent cx="623888" cy="623888"/>
            <wp:effectExtent l="0" t="0" r="5080" b="5080"/>
            <wp:docPr id="4" name="图片 4" descr="女人戴着眼镜&#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女人戴着眼镜&#10;&#10;描述已自动生成"/>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3888" cy="623888"/>
                    </a:xfrm>
                    <a:prstGeom prst="rect">
                      <a:avLst/>
                    </a:prstGeom>
                    <a:noFill/>
                    <a:ln>
                      <a:noFill/>
                    </a:ln>
                  </pic:spPr>
                </pic:pic>
              </a:graphicData>
            </a:graphic>
          </wp:inline>
        </w:drawing>
      </w:r>
      <w:r w:rsidR="00A9710C" w:rsidRPr="00A842C1">
        <w:rPr>
          <w:rFonts w:ascii="Arial"/>
          <w:color w:val="BF5A14"/>
          <w:lang w:val="en-GB"/>
        </w:rPr>
        <w:t>Biography</w:t>
      </w:r>
      <w:r w:rsidR="00A950B7" w:rsidRPr="00A950B7">
        <w:t xml:space="preserve"> </w:t>
      </w:r>
    </w:p>
    <w:p w14:paraId="5CC12376" w14:textId="0922EC71" w:rsidR="00AE3E37" w:rsidRPr="00A842C1" w:rsidRDefault="00082884">
      <w:pPr>
        <w:spacing w:before="41" w:line="154" w:lineRule="exact"/>
        <w:ind w:left="213" w:right="231"/>
        <w:jc w:val="both"/>
        <w:rPr>
          <w:rFonts w:ascii="Arial"/>
          <w:sz w:val="14"/>
          <w:lang w:val="en-GB"/>
        </w:rPr>
      </w:pPr>
      <w:proofErr w:type="spellStart"/>
      <w:r w:rsidRPr="00082884">
        <w:rPr>
          <w:rFonts w:ascii="Arial"/>
          <w:sz w:val="14"/>
          <w:lang w:val="en-GB"/>
        </w:rPr>
        <w:t>Dr.</w:t>
      </w:r>
      <w:proofErr w:type="spellEnd"/>
      <w:r w:rsidRPr="00082884">
        <w:rPr>
          <w:rFonts w:ascii="Arial"/>
          <w:sz w:val="14"/>
          <w:lang w:val="en-GB"/>
        </w:rPr>
        <w:t xml:space="preserve"> </w:t>
      </w:r>
      <w:proofErr w:type="spellStart"/>
      <w:r w:rsidRPr="00082884">
        <w:rPr>
          <w:rFonts w:ascii="Arial"/>
          <w:sz w:val="14"/>
          <w:lang w:val="en-GB"/>
        </w:rPr>
        <w:t>Dadong</w:t>
      </w:r>
      <w:proofErr w:type="spellEnd"/>
      <w:r w:rsidRPr="00082884">
        <w:rPr>
          <w:rFonts w:ascii="Arial"/>
          <w:sz w:val="14"/>
          <w:lang w:val="en-GB"/>
        </w:rPr>
        <w:t xml:space="preserve"> Wu is an experienced researcher in the field of public health policy and systems, particularly in relation to maternal and child health. She holds a PhD in health policy from University College London (UCL) and </w:t>
      </w:r>
      <w:proofErr w:type="gramStart"/>
      <w:r w:rsidRPr="00082884">
        <w:rPr>
          <w:rFonts w:ascii="Arial"/>
          <w:sz w:val="14"/>
          <w:lang w:val="en-GB"/>
        </w:rPr>
        <w:t>have</w:t>
      </w:r>
      <w:proofErr w:type="gramEnd"/>
      <w:r w:rsidRPr="00082884">
        <w:rPr>
          <w:rFonts w:ascii="Arial"/>
          <w:sz w:val="14"/>
          <w:lang w:val="en-GB"/>
        </w:rPr>
        <w:t xml:space="preserve"> worked with the WHO, UNFPA, UNICEF and China CDC etc. on a number of research projects on perinatal depression control, prevention of mother-to-child transmission (PMTCT), and sexual and reproductive health and rights (SRHR). </w:t>
      </w:r>
      <w:proofErr w:type="spellStart"/>
      <w:r w:rsidRPr="00082884">
        <w:rPr>
          <w:rFonts w:ascii="Arial"/>
          <w:sz w:val="14"/>
          <w:lang w:val="en-GB"/>
        </w:rPr>
        <w:t>Dr.</w:t>
      </w:r>
      <w:proofErr w:type="spellEnd"/>
      <w:r w:rsidRPr="00082884">
        <w:rPr>
          <w:rFonts w:ascii="Arial"/>
          <w:sz w:val="14"/>
          <w:lang w:val="en-GB"/>
        </w:rPr>
        <w:t xml:space="preserve"> Wu holds a research position in the Affiliated Shenzhen Maternity and Child Healthcare Hospital, Southern Medical University, China and works for University of Bern, Switzerland as an individual consultant. Her recent research interests mainly concentrate on (1) referral uptake of women screened positive for postpartum depression, (2) barriers and facilitators to implementing the global PMTCT guidelines at facility level.</w:t>
      </w:r>
    </w:p>
    <w:p w14:paraId="787A3DE8" w14:textId="7BB1D252" w:rsidR="00AE3E37" w:rsidRPr="00A842C1" w:rsidRDefault="00A9710C" w:rsidP="00082884">
      <w:pPr>
        <w:spacing w:before="62"/>
        <w:ind w:left="4217" w:right="3744"/>
        <w:jc w:val="center"/>
        <w:rPr>
          <w:rFonts w:ascii="Arial"/>
          <w:sz w:val="14"/>
          <w:lang w:val="en-GB"/>
        </w:rPr>
      </w:pPr>
      <w:r w:rsidRPr="00A842C1">
        <w:rPr>
          <w:rFonts w:ascii="Arial"/>
          <w:sz w:val="14"/>
          <w:lang w:val="en-GB"/>
        </w:rPr>
        <w:t xml:space="preserve">Email: </w:t>
      </w:r>
      <w:hyperlink r:id="rId12" w:history="1">
        <w:r w:rsidR="00082884" w:rsidRPr="00103264">
          <w:rPr>
            <w:rStyle w:val="Hyperlink"/>
            <w:rFonts w:ascii="Arial"/>
            <w:sz w:val="14"/>
            <w:lang w:val="en-GB"/>
          </w:rPr>
          <w:t>Dadong.wu.10@alumni.ucl.ac.uk</w:t>
        </w:r>
      </w:hyperlink>
      <w:r w:rsidR="00082884">
        <w:rPr>
          <w:rFonts w:ascii="Arial"/>
          <w:sz w:val="14"/>
          <w:lang w:val="en-GB"/>
        </w:rPr>
        <w:t xml:space="preserve"> </w:t>
      </w:r>
    </w:p>
    <w:p w14:paraId="2C5A3639" w14:textId="789FD67D" w:rsidR="00AE3E37" w:rsidRPr="00A842C1" w:rsidRDefault="00292ED9" w:rsidP="000534A1">
      <w:pPr>
        <w:spacing w:before="39"/>
        <w:ind w:left="100"/>
        <w:rPr>
          <w:rFonts w:ascii="Minion Pro"/>
          <w:b/>
          <w:sz w:val="20"/>
          <w:lang w:val="en-GB"/>
        </w:rPr>
      </w:pPr>
      <w:r w:rsidRPr="00A842C1">
        <w:rPr>
          <w:noProof/>
          <w:lang w:val="en-IN" w:eastAsia="en-IN"/>
        </w:rPr>
        <mc:AlternateContent>
          <mc:Choice Requires="wps">
            <w:drawing>
              <wp:anchor distT="0" distB="0" distL="0" distR="0" simplePos="0" relativeHeight="251655168" behindDoc="0" locked="0" layoutInCell="1" allowOverlap="1" wp14:anchorId="6BB0FE52" wp14:editId="00197B1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59B381C" id="Line 3" o:spid="_x0000_s1026" style="position:absolute;left:0;text-align:lef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r w:rsidR="00A9710C" w:rsidRPr="00A842C1">
        <w:rPr>
          <w:rFonts w:ascii="Minion Pro"/>
          <w:b/>
          <w:sz w:val="20"/>
          <w:lang w:val="en-GB"/>
        </w:rPr>
        <w:t>Notes/Comments:</w:t>
      </w:r>
    </w:p>
    <w:p w14:paraId="1BDEFBF4" w14:textId="77777777" w:rsidR="00EA7D51" w:rsidRPr="00A842C1" w:rsidRDefault="00EA7D51" w:rsidP="000534A1">
      <w:pPr>
        <w:spacing w:before="39"/>
        <w:ind w:left="100"/>
        <w:rPr>
          <w:rFonts w:ascii="Minion Pro"/>
          <w:b/>
          <w:sz w:val="20"/>
          <w:lang w:val="en-GB"/>
        </w:rPr>
      </w:pPr>
    </w:p>
    <w:p w14:paraId="547491E9" w14:textId="77777777" w:rsidR="00EA7D51" w:rsidRPr="00A842C1" w:rsidRDefault="00EA7D51" w:rsidP="000534A1">
      <w:pPr>
        <w:spacing w:before="39"/>
        <w:ind w:left="100"/>
        <w:rPr>
          <w:rFonts w:ascii="Minion Pro"/>
          <w:b/>
          <w:sz w:val="20"/>
          <w:lang w:val="en-GB"/>
        </w:rPr>
      </w:pPr>
    </w:p>
    <w:p w14:paraId="170E826C" w14:textId="31C49325" w:rsidR="00EA7D51" w:rsidRPr="00A842C1" w:rsidRDefault="00EA7D51" w:rsidP="00EA7D51">
      <w:pPr>
        <w:autoSpaceDE w:val="0"/>
        <w:autoSpaceDN w:val="0"/>
        <w:adjustRightInd w:val="0"/>
        <w:rPr>
          <w:b/>
          <w:sz w:val="20"/>
          <w:szCs w:val="20"/>
          <w:lang w:val="en-GB"/>
        </w:rPr>
      </w:pPr>
      <w:r w:rsidRPr="00A842C1">
        <w:rPr>
          <w:b/>
          <w:sz w:val="20"/>
          <w:szCs w:val="20"/>
          <w:lang w:val="en-GB"/>
        </w:rPr>
        <w:lastRenderedPageBreak/>
        <w:t xml:space="preserve">Presenting author details </w:t>
      </w:r>
      <w:r w:rsidRPr="00A842C1">
        <w:rPr>
          <w:b/>
          <w:sz w:val="20"/>
          <w:szCs w:val="20"/>
          <w:lang w:val="en-GB"/>
        </w:rPr>
        <w:br/>
      </w:r>
      <w:r w:rsidRPr="00A842C1">
        <w:rPr>
          <w:sz w:val="20"/>
          <w:szCs w:val="20"/>
          <w:lang w:val="en-GB"/>
        </w:rPr>
        <w:t xml:space="preserve">Full name: </w:t>
      </w:r>
      <w:proofErr w:type="spellStart"/>
      <w:r w:rsidR="00F4700B">
        <w:rPr>
          <w:sz w:val="20"/>
          <w:szCs w:val="20"/>
          <w:lang w:val="en-GB"/>
        </w:rPr>
        <w:t>Dadong</w:t>
      </w:r>
      <w:proofErr w:type="spellEnd"/>
      <w:r w:rsidR="00F4700B">
        <w:rPr>
          <w:sz w:val="20"/>
          <w:szCs w:val="20"/>
          <w:lang w:val="en-GB"/>
        </w:rPr>
        <w:t xml:space="preserve"> Wu</w:t>
      </w:r>
      <w:r w:rsidRPr="00A842C1">
        <w:rPr>
          <w:sz w:val="20"/>
          <w:szCs w:val="20"/>
          <w:lang w:val="en-GB"/>
        </w:rPr>
        <w:br/>
        <w:t>Contact number:</w:t>
      </w:r>
      <w:r w:rsidR="00F4700B">
        <w:rPr>
          <w:sz w:val="20"/>
          <w:szCs w:val="20"/>
          <w:lang w:val="en-GB"/>
        </w:rPr>
        <w:t xml:space="preserve"> +8613823184820</w:t>
      </w:r>
      <w:r w:rsidRPr="00A842C1">
        <w:rPr>
          <w:sz w:val="20"/>
          <w:szCs w:val="20"/>
          <w:lang w:val="en-GB"/>
        </w:rPr>
        <w:br/>
        <w:t>Twitter account:</w:t>
      </w:r>
      <w:r w:rsidR="00F4700B">
        <w:rPr>
          <w:sz w:val="20"/>
          <w:szCs w:val="20"/>
          <w:lang w:val="en-GB"/>
        </w:rPr>
        <w:t xml:space="preserve"> N/A</w:t>
      </w:r>
      <w:r w:rsidRPr="00A842C1">
        <w:rPr>
          <w:sz w:val="20"/>
          <w:szCs w:val="20"/>
          <w:lang w:val="en-GB"/>
        </w:rPr>
        <w:br/>
        <w:t>Linked In account:</w:t>
      </w:r>
      <w:r w:rsidR="00F4700B">
        <w:rPr>
          <w:sz w:val="20"/>
          <w:szCs w:val="20"/>
          <w:lang w:val="en-GB"/>
        </w:rPr>
        <w:t xml:space="preserve"> flora_winter@hotmail.com</w:t>
      </w:r>
    </w:p>
    <w:p w14:paraId="22AE167E" w14:textId="72F79ECD" w:rsidR="00EA7D51" w:rsidRPr="00A842C1" w:rsidRDefault="00EA7D51" w:rsidP="00EA7D51">
      <w:pPr>
        <w:autoSpaceDE w:val="0"/>
        <w:autoSpaceDN w:val="0"/>
        <w:adjustRightInd w:val="0"/>
        <w:rPr>
          <w:sz w:val="20"/>
          <w:szCs w:val="20"/>
          <w:lang w:val="en-GB"/>
        </w:rPr>
      </w:pPr>
      <w:r w:rsidRPr="00A842C1">
        <w:rPr>
          <w:sz w:val="20"/>
          <w:szCs w:val="20"/>
          <w:lang w:val="en-GB"/>
        </w:rPr>
        <w:t xml:space="preserve">Session name/ number: </w:t>
      </w:r>
      <w:r w:rsidRPr="00A842C1">
        <w:rPr>
          <w:sz w:val="20"/>
          <w:szCs w:val="20"/>
          <w:lang w:val="en-GB"/>
        </w:rPr>
        <w:br/>
        <w:t>Category: (Oral presentation)</w:t>
      </w:r>
      <w:r w:rsidRPr="00A842C1">
        <w:rPr>
          <w:sz w:val="20"/>
          <w:szCs w:val="20"/>
          <w:lang w:val="en-GB"/>
        </w:rPr>
        <w:br/>
      </w:r>
    </w:p>
    <w:p w14:paraId="0BA1AE87" w14:textId="77777777" w:rsidR="00EA7D51" w:rsidRPr="00A842C1" w:rsidRDefault="00EA7D51" w:rsidP="000534A1">
      <w:pPr>
        <w:spacing w:before="39"/>
        <w:ind w:left="100"/>
        <w:rPr>
          <w:rFonts w:ascii="Minion Pro"/>
          <w:b/>
          <w:sz w:val="20"/>
          <w:lang w:val="en-GB"/>
        </w:rPr>
        <w:sectPr w:rsidR="00EA7D51" w:rsidRPr="00A842C1" w:rsidSect="008E5477">
          <w:type w:val="continuous"/>
          <w:pgSz w:w="11910" w:h="16840"/>
          <w:pgMar w:top="995" w:right="600" w:bottom="840" w:left="620" w:header="720" w:footer="720" w:gutter="0"/>
          <w:cols w:space="720"/>
        </w:sectPr>
      </w:pPr>
    </w:p>
    <w:p w14:paraId="54B120D9" w14:textId="77777777" w:rsidR="00AE3E37" w:rsidRPr="00A842C1" w:rsidRDefault="00AE3E37" w:rsidP="00475D20">
      <w:pPr>
        <w:jc w:val="both"/>
        <w:rPr>
          <w:rFonts w:ascii="Minion Pro"/>
          <w:sz w:val="26"/>
          <w:lang w:val="en-GB"/>
        </w:rPr>
      </w:pPr>
    </w:p>
    <w:sectPr w:rsidR="00AE3E37" w:rsidRPr="00A842C1"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B6B064" w14:textId="77777777" w:rsidR="00847784" w:rsidRDefault="00847784">
      <w:r>
        <w:separator/>
      </w:r>
    </w:p>
  </w:endnote>
  <w:endnote w:type="continuationSeparator" w:id="0">
    <w:p w14:paraId="6FC372C6" w14:textId="77777777" w:rsidR="00847784" w:rsidRDefault="00847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8D644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DA6FF28" wp14:editId="4A97887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EF99D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9EEA13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DA6FF28"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33EF99D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9EEA13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25BC68D" wp14:editId="05DCF05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8D5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B5AF39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25BC68D"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1CE8D5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B5AF39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7FCAFF2" wp14:editId="03F679D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6268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221F9C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FCAFF2"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15A6268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221F9C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A38977" w14:textId="77777777" w:rsidR="00847784" w:rsidRDefault="00847784">
      <w:r>
        <w:separator/>
      </w:r>
    </w:p>
  </w:footnote>
  <w:footnote w:type="continuationSeparator" w:id="0">
    <w:p w14:paraId="5A869384" w14:textId="77777777" w:rsidR="00847784" w:rsidRDefault="008477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34587"/>
    <w:multiLevelType w:val="hybridMultilevel"/>
    <w:tmpl w:val="7EDE6B1A"/>
    <w:lvl w:ilvl="0" w:tplc="FFFFFFFF">
      <w:start w:val="1"/>
      <w:numFmt w:val="decimal"/>
      <w:lvlText w:val="%1."/>
      <w:lvlJc w:val="left"/>
      <w:pPr>
        <w:ind w:left="383" w:hanging="284"/>
      </w:pPr>
      <w:rPr>
        <w:rFonts w:ascii="Calibri" w:eastAsia="Calibri" w:hAnsi="Calibri" w:cs="Calibri" w:hint="default"/>
        <w:spacing w:val="-16"/>
        <w:w w:val="100"/>
        <w:sz w:val="18"/>
        <w:szCs w:val="18"/>
      </w:rPr>
    </w:lvl>
    <w:lvl w:ilvl="1" w:tplc="FFFFFFFF">
      <w:start w:val="1"/>
      <w:numFmt w:val="bullet"/>
      <w:lvlText w:val="•"/>
      <w:lvlJc w:val="left"/>
      <w:pPr>
        <w:ind w:left="877" w:hanging="284"/>
      </w:pPr>
      <w:rPr>
        <w:rFonts w:hint="default"/>
      </w:rPr>
    </w:lvl>
    <w:lvl w:ilvl="2" w:tplc="FFFFFFFF">
      <w:start w:val="1"/>
      <w:numFmt w:val="bullet"/>
      <w:lvlText w:val="•"/>
      <w:lvlJc w:val="left"/>
      <w:pPr>
        <w:ind w:left="1374" w:hanging="284"/>
      </w:pPr>
      <w:rPr>
        <w:rFonts w:hint="default"/>
      </w:rPr>
    </w:lvl>
    <w:lvl w:ilvl="3" w:tplc="FFFFFFFF">
      <w:start w:val="1"/>
      <w:numFmt w:val="bullet"/>
      <w:lvlText w:val="•"/>
      <w:lvlJc w:val="left"/>
      <w:pPr>
        <w:ind w:left="1871" w:hanging="284"/>
      </w:pPr>
      <w:rPr>
        <w:rFonts w:hint="default"/>
      </w:rPr>
    </w:lvl>
    <w:lvl w:ilvl="4" w:tplc="FFFFFFFF">
      <w:start w:val="1"/>
      <w:numFmt w:val="bullet"/>
      <w:lvlText w:val="•"/>
      <w:lvlJc w:val="left"/>
      <w:pPr>
        <w:ind w:left="2369" w:hanging="284"/>
      </w:pPr>
      <w:rPr>
        <w:rFonts w:hint="default"/>
      </w:rPr>
    </w:lvl>
    <w:lvl w:ilvl="5" w:tplc="FFFFFFFF">
      <w:start w:val="1"/>
      <w:numFmt w:val="bullet"/>
      <w:lvlText w:val="•"/>
      <w:lvlJc w:val="left"/>
      <w:pPr>
        <w:ind w:left="2866" w:hanging="284"/>
      </w:pPr>
      <w:rPr>
        <w:rFonts w:hint="default"/>
      </w:rPr>
    </w:lvl>
    <w:lvl w:ilvl="6" w:tplc="FFFFFFFF">
      <w:start w:val="1"/>
      <w:numFmt w:val="bullet"/>
      <w:lvlText w:val="•"/>
      <w:lvlJc w:val="left"/>
      <w:pPr>
        <w:ind w:left="3363" w:hanging="284"/>
      </w:pPr>
      <w:rPr>
        <w:rFonts w:hint="default"/>
      </w:rPr>
    </w:lvl>
    <w:lvl w:ilvl="7" w:tplc="FFFFFFFF">
      <w:start w:val="1"/>
      <w:numFmt w:val="bullet"/>
      <w:lvlText w:val="•"/>
      <w:lvlJc w:val="left"/>
      <w:pPr>
        <w:ind w:left="3860" w:hanging="284"/>
      </w:pPr>
      <w:rPr>
        <w:rFonts w:hint="default"/>
      </w:rPr>
    </w:lvl>
    <w:lvl w:ilvl="8" w:tplc="FFFFFFFF">
      <w:start w:val="1"/>
      <w:numFmt w:val="bullet"/>
      <w:lvlText w:val="•"/>
      <w:lvlJc w:val="left"/>
      <w:pPr>
        <w:ind w:left="4358" w:hanging="284"/>
      </w:pPr>
      <w:rPr>
        <w:rFont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82884"/>
    <w:rsid w:val="000B4CAA"/>
    <w:rsid w:val="000E2911"/>
    <w:rsid w:val="001263DF"/>
    <w:rsid w:val="00292ED9"/>
    <w:rsid w:val="00351D9B"/>
    <w:rsid w:val="00380299"/>
    <w:rsid w:val="003935F7"/>
    <w:rsid w:val="003E1750"/>
    <w:rsid w:val="003E63CD"/>
    <w:rsid w:val="00404E5B"/>
    <w:rsid w:val="00414F7B"/>
    <w:rsid w:val="004355DC"/>
    <w:rsid w:val="004749B4"/>
    <w:rsid w:val="00475D20"/>
    <w:rsid w:val="00494130"/>
    <w:rsid w:val="004F3523"/>
    <w:rsid w:val="00590D60"/>
    <w:rsid w:val="005973B9"/>
    <w:rsid w:val="005B3A56"/>
    <w:rsid w:val="005E7F5B"/>
    <w:rsid w:val="006060CE"/>
    <w:rsid w:val="0061505C"/>
    <w:rsid w:val="0063497F"/>
    <w:rsid w:val="006A1969"/>
    <w:rsid w:val="00714354"/>
    <w:rsid w:val="00740CD3"/>
    <w:rsid w:val="00744478"/>
    <w:rsid w:val="00847784"/>
    <w:rsid w:val="00873DF0"/>
    <w:rsid w:val="008756E6"/>
    <w:rsid w:val="00897EC5"/>
    <w:rsid w:val="008A0763"/>
    <w:rsid w:val="008E5477"/>
    <w:rsid w:val="009B2D44"/>
    <w:rsid w:val="00A07E82"/>
    <w:rsid w:val="00A52075"/>
    <w:rsid w:val="00A842C1"/>
    <w:rsid w:val="00A950B7"/>
    <w:rsid w:val="00A9710C"/>
    <w:rsid w:val="00AE3E37"/>
    <w:rsid w:val="00B21A57"/>
    <w:rsid w:val="00BE6743"/>
    <w:rsid w:val="00C33602"/>
    <w:rsid w:val="00C56C74"/>
    <w:rsid w:val="00CA489C"/>
    <w:rsid w:val="00CD6F55"/>
    <w:rsid w:val="00D11289"/>
    <w:rsid w:val="00DE3104"/>
    <w:rsid w:val="00DE6170"/>
    <w:rsid w:val="00E30AAC"/>
    <w:rsid w:val="00E95D97"/>
    <w:rsid w:val="00EA7D51"/>
    <w:rsid w:val="00F046EA"/>
    <w:rsid w:val="00F312EA"/>
    <w:rsid w:val="00F3478A"/>
    <w:rsid w:val="00F35A62"/>
    <w:rsid w:val="00F4700B"/>
    <w:rsid w:val="00F72EEA"/>
    <w:rsid w:val="00F84CAE"/>
    <w:rsid w:val="00FA41DE"/>
    <w:rsid w:val="00FB51C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31B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3E63CD"/>
    <w:pPr>
      <w:widowControl/>
      <w:spacing w:after="160"/>
    </w:pPr>
    <w:rPr>
      <w:rFonts w:ascii="Calibri" w:eastAsiaTheme="minorEastAsia" w:hAnsi="Calibri" w:cs="Calibri"/>
      <w:noProof/>
      <w:lang w:val="en-GB" w:eastAsia="zh-CN"/>
    </w:rPr>
  </w:style>
  <w:style w:type="character" w:customStyle="1" w:styleId="EndNoteBibliographyChar">
    <w:name w:val="EndNote Bibliography Char"/>
    <w:basedOn w:val="DefaultParagraphFont"/>
    <w:link w:val="EndNoteBibliography"/>
    <w:rsid w:val="003E63CD"/>
    <w:rPr>
      <w:rFonts w:ascii="Calibri" w:hAnsi="Calibri" w:cs="Calibri"/>
      <w:noProof/>
      <w:lang w:val="en-GB" w:eastAsia="zh-CN"/>
    </w:rPr>
  </w:style>
  <w:style w:type="character" w:customStyle="1" w:styleId="UnresolvedMention">
    <w:name w:val="Unresolved Mention"/>
    <w:basedOn w:val="DefaultParagraphFont"/>
    <w:uiPriority w:val="99"/>
    <w:semiHidden/>
    <w:unhideWhenUsed/>
    <w:rsid w:val="0008288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3E63CD"/>
    <w:pPr>
      <w:widowControl/>
      <w:spacing w:after="160"/>
    </w:pPr>
    <w:rPr>
      <w:rFonts w:ascii="Calibri" w:eastAsiaTheme="minorEastAsia" w:hAnsi="Calibri" w:cs="Calibri"/>
      <w:noProof/>
      <w:lang w:val="en-GB" w:eastAsia="zh-CN"/>
    </w:rPr>
  </w:style>
  <w:style w:type="character" w:customStyle="1" w:styleId="EndNoteBibliographyChar">
    <w:name w:val="EndNote Bibliography Char"/>
    <w:basedOn w:val="DefaultParagraphFont"/>
    <w:link w:val="EndNoteBibliography"/>
    <w:rsid w:val="003E63CD"/>
    <w:rPr>
      <w:rFonts w:ascii="Calibri" w:hAnsi="Calibri" w:cs="Calibri"/>
      <w:noProof/>
      <w:lang w:val="en-GB" w:eastAsia="zh-CN"/>
    </w:rPr>
  </w:style>
  <w:style w:type="character" w:customStyle="1" w:styleId="UnresolvedMention">
    <w:name w:val="Unresolved Mention"/>
    <w:basedOn w:val="DefaultParagraphFont"/>
    <w:uiPriority w:val="99"/>
    <w:semiHidden/>
    <w:unhideWhenUsed/>
    <w:rsid w:val="00082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adong.wu.10@alumni.ucl.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611</Words>
  <Characters>3488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bigdata-2021</cp:lastModifiedBy>
  <cp:revision>2</cp:revision>
  <dcterms:created xsi:type="dcterms:W3CDTF">2022-10-20T07:27:00Z</dcterms:created>
  <dcterms:modified xsi:type="dcterms:W3CDTF">2022-10-20T07:27:00Z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