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35" w:rsidRPr="002B1E72" w:rsidRDefault="00E563F6">
      <w:pPr>
        <w:pStyle w:val="Title"/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color w:val="3379B7"/>
          <w:sz w:val="24"/>
          <w:szCs w:val="24"/>
        </w:rPr>
        <w:t>Secondary</w:t>
      </w:r>
      <w:r w:rsidRPr="002B1E72">
        <w:rPr>
          <w:rFonts w:ascii="Times New Roman" w:hAnsi="Times New Roman" w:cs="Times New Roman"/>
          <w:color w:val="3379B7"/>
          <w:spacing w:val="27"/>
          <w:sz w:val="24"/>
          <w:szCs w:val="24"/>
        </w:rPr>
        <w:t xml:space="preserve"> </w:t>
      </w:r>
      <w:r w:rsidR="002B1E72">
        <w:rPr>
          <w:rFonts w:ascii="Times New Roman" w:hAnsi="Times New Roman" w:cs="Times New Roman"/>
          <w:color w:val="3379B7"/>
          <w:sz w:val="24"/>
          <w:szCs w:val="24"/>
        </w:rPr>
        <w:t>a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ntibody</w:t>
      </w:r>
      <w:r w:rsidRPr="002B1E72">
        <w:rPr>
          <w:rFonts w:ascii="Times New Roman" w:hAnsi="Times New Roman" w:cs="Times New Roman"/>
          <w:color w:val="3379B7"/>
          <w:spacing w:val="28"/>
          <w:sz w:val="24"/>
          <w:szCs w:val="24"/>
        </w:rPr>
        <w:t xml:space="preserve"> </w:t>
      </w:r>
      <w:r w:rsidR="002B1E72">
        <w:rPr>
          <w:rFonts w:ascii="Times New Roman" w:hAnsi="Times New Roman" w:cs="Times New Roman"/>
          <w:color w:val="3379B7"/>
          <w:sz w:val="24"/>
          <w:szCs w:val="24"/>
        </w:rPr>
        <w:t>d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eficiency</w:t>
      </w:r>
      <w:r w:rsidRPr="002B1E72">
        <w:rPr>
          <w:rFonts w:ascii="Times New Roman" w:hAnsi="Times New Roman" w:cs="Times New Roman"/>
          <w:color w:val="3379B7"/>
          <w:spacing w:val="28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as</w:t>
      </w:r>
      <w:r w:rsidRPr="002B1E72">
        <w:rPr>
          <w:rFonts w:ascii="Times New Roman" w:hAnsi="Times New Roman" w:cs="Times New Roman"/>
          <w:color w:val="3379B7"/>
          <w:spacing w:val="27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a</w:t>
      </w:r>
      <w:r w:rsidRPr="002B1E72">
        <w:rPr>
          <w:rFonts w:ascii="Times New Roman" w:hAnsi="Times New Roman" w:cs="Times New Roman"/>
          <w:color w:val="3379B7"/>
          <w:spacing w:val="2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risk</w:t>
      </w:r>
      <w:r w:rsidRPr="002B1E72">
        <w:rPr>
          <w:rFonts w:ascii="Times New Roman" w:hAnsi="Times New Roman" w:cs="Times New Roman"/>
          <w:color w:val="3379B7"/>
          <w:spacing w:val="29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factor</w:t>
      </w:r>
      <w:r w:rsidRPr="002B1E72">
        <w:rPr>
          <w:rFonts w:ascii="Times New Roman" w:hAnsi="Times New Roman" w:cs="Times New Roman"/>
          <w:color w:val="3379B7"/>
          <w:spacing w:val="27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of</w:t>
      </w:r>
      <w:r w:rsidRPr="002B1E72">
        <w:rPr>
          <w:rFonts w:ascii="Times New Roman" w:hAnsi="Times New Roman" w:cs="Times New Roman"/>
          <w:color w:val="3379B7"/>
          <w:spacing w:val="3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severe</w:t>
      </w:r>
      <w:r w:rsidRPr="002B1E72">
        <w:rPr>
          <w:rFonts w:ascii="Times New Roman" w:hAnsi="Times New Roman" w:cs="Times New Roman"/>
          <w:color w:val="3379B7"/>
          <w:spacing w:val="2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infection</w:t>
      </w:r>
      <w:r w:rsidRPr="002B1E72">
        <w:rPr>
          <w:rFonts w:ascii="Times New Roman" w:hAnsi="Times New Roman" w:cs="Times New Roman"/>
          <w:color w:val="3379B7"/>
          <w:spacing w:val="29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in</w:t>
      </w:r>
      <w:r w:rsidRPr="002B1E72">
        <w:rPr>
          <w:rFonts w:ascii="Times New Roman" w:hAnsi="Times New Roman" w:cs="Times New Roman"/>
          <w:color w:val="3379B7"/>
          <w:spacing w:val="-77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3379B7"/>
          <w:sz w:val="24"/>
          <w:szCs w:val="24"/>
        </w:rPr>
        <w:t>solid</w:t>
      </w:r>
      <w:r w:rsidRPr="002B1E72">
        <w:rPr>
          <w:rFonts w:ascii="Times New Roman" w:hAnsi="Times New Roman" w:cs="Times New Roman"/>
          <w:color w:val="3379B7"/>
          <w:spacing w:val="-1"/>
          <w:sz w:val="24"/>
          <w:szCs w:val="24"/>
        </w:rPr>
        <w:t xml:space="preserve"> </w:t>
      </w:r>
      <w:r w:rsidR="002B1E72">
        <w:rPr>
          <w:rFonts w:ascii="Times New Roman" w:hAnsi="Times New Roman" w:cs="Times New Roman"/>
          <w:color w:val="3379B7"/>
          <w:sz w:val="24"/>
          <w:szCs w:val="24"/>
        </w:rPr>
        <w:t>organ transplantation</w:t>
      </w:r>
    </w:p>
    <w:p w:rsidR="002B1E72" w:rsidRDefault="002B1E72">
      <w:pPr>
        <w:pStyle w:val="BodyText"/>
        <w:spacing w:before="75" w:line="228" w:lineRule="auto"/>
        <w:ind w:left="220" w:right="6538"/>
        <w:rPr>
          <w:rFonts w:ascii="Times New Roman" w:hAnsi="Times New Roman" w:cs="Times New Roman"/>
          <w:sz w:val="24"/>
          <w:szCs w:val="24"/>
        </w:rPr>
      </w:pPr>
    </w:p>
    <w:p w:rsidR="002B1E72" w:rsidRDefault="002B1E72">
      <w:pPr>
        <w:pStyle w:val="BodyText"/>
        <w:spacing w:before="75" w:line="228" w:lineRule="auto"/>
        <w:ind w:left="220" w:right="6538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Javier Carbone</w:t>
      </w:r>
      <w:bookmarkEnd w:id="0"/>
    </w:p>
    <w:p w:rsidR="002B1E72" w:rsidRDefault="00E563F6" w:rsidP="002B1E72">
      <w:pPr>
        <w:pStyle w:val="BodyText"/>
        <w:spacing w:before="75" w:line="228" w:lineRule="auto"/>
        <w:ind w:left="220" w:right="6538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sz w:val="24"/>
          <w:szCs w:val="24"/>
        </w:rPr>
        <w:t>Hospital</w:t>
      </w:r>
      <w:r w:rsidR="002B1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E72">
        <w:rPr>
          <w:rFonts w:ascii="Times New Roman" w:hAnsi="Times New Roman" w:cs="Times New Roman"/>
          <w:sz w:val="24"/>
          <w:szCs w:val="24"/>
        </w:rPr>
        <w:t>Universitario</w:t>
      </w:r>
      <w:proofErr w:type="spellEnd"/>
      <w:r w:rsidR="002B1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E72">
        <w:rPr>
          <w:rFonts w:ascii="Times New Roman" w:hAnsi="Times New Roman" w:cs="Times New Roman"/>
          <w:sz w:val="24"/>
          <w:szCs w:val="24"/>
        </w:rPr>
        <w:t>Puerta</w:t>
      </w:r>
      <w:proofErr w:type="spellEnd"/>
      <w:r w:rsidR="002B1E7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B1E72">
        <w:rPr>
          <w:rFonts w:ascii="Times New Roman" w:hAnsi="Times New Roman" w:cs="Times New Roman"/>
          <w:sz w:val="24"/>
          <w:szCs w:val="24"/>
        </w:rPr>
        <w:t>Hier</w:t>
      </w:r>
      <w:proofErr w:type="spellEnd"/>
    </w:p>
    <w:p w:rsidR="002B1E72" w:rsidRPr="002B1E72" w:rsidRDefault="002B1E72" w:rsidP="002B1E72">
      <w:pPr>
        <w:pStyle w:val="BodyText"/>
        <w:spacing w:before="75" w:line="228" w:lineRule="auto"/>
        <w:ind w:left="220" w:right="6538"/>
        <w:rPr>
          <w:rFonts w:ascii="Times New Roman" w:hAnsi="Times New Roman" w:cs="Times New Roman"/>
          <w:sz w:val="24"/>
          <w:szCs w:val="24"/>
        </w:rPr>
        <w:sectPr w:rsidR="002B1E72" w:rsidRPr="002B1E72">
          <w:type w:val="continuous"/>
          <w:pgSz w:w="11920" w:h="16850"/>
          <w:pgMar w:top="1120" w:right="480" w:bottom="280" w:left="50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Spain</w:t>
      </w:r>
    </w:p>
    <w:p w:rsidR="00970B35" w:rsidRPr="002B1E72" w:rsidRDefault="00E563F6">
      <w:pPr>
        <w:pStyle w:val="Heading1"/>
        <w:spacing w:before="151"/>
        <w:ind w:left="220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color w:val="BE5A13"/>
          <w:sz w:val="24"/>
          <w:szCs w:val="24"/>
        </w:rPr>
        <w:lastRenderedPageBreak/>
        <w:t>Abstract</w:t>
      </w:r>
      <w:r w:rsidRPr="002B1E72">
        <w:rPr>
          <w:rFonts w:ascii="Times New Roman" w:hAnsi="Times New Roman" w:cs="Times New Roman"/>
          <w:color w:val="BE5A13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BE5A13"/>
          <w:sz w:val="24"/>
          <w:szCs w:val="24"/>
        </w:rPr>
        <w:t>(300</w:t>
      </w:r>
      <w:r w:rsidRPr="002B1E72">
        <w:rPr>
          <w:rFonts w:ascii="Times New Roman" w:hAnsi="Times New Roman" w:cs="Times New Roman"/>
          <w:color w:val="BE5A13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BE5A13"/>
          <w:sz w:val="24"/>
          <w:szCs w:val="24"/>
        </w:rPr>
        <w:t>word limit)</w:t>
      </w:r>
    </w:p>
    <w:p w:rsidR="00970B35" w:rsidRPr="002B1E72" w:rsidRDefault="00E563F6">
      <w:pPr>
        <w:pStyle w:val="BodyText"/>
        <w:spacing w:before="80"/>
        <w:ind w:left="2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E72">
        <w:rPr>
          <w:rFonts w:ascii="Times New Roman" w:hAnsi="Times New Roman" w:cs="Times New Roman"/>
          <w:b/>
          <w:w w:val="90"/>
          <w:sz w:val="24"/>
          <w:szCs w:val="24"/>
        </w:rPr>
        <w:t>Statement</w:t>
      </w:r>
      <w:r w:rsidRPr="002B1E72">
        <w:rPr>
          <w:rFonts w:ascii="Times New Roman" w:hAnsi="Times New Roman" w:cs="Times New Roman"/>
          <w:b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b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b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b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b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b/>
          <w:w w:val="90"/>
          <w:sz w:val="24"/>
          <w:szCs w:val="24"/>
        </w:rPr>
        <w:t>Problem:</w:t>
      </w:r>
    </w:p>
    <w:p w:rsidR="00970B35" w:rsidRPr="002B1E72" w:rsidRDefault="00E563F6">
      <w:pPr>
        <w:pStyle w:val="BodyText"/>
        <w:spacing w:before="115" w:line="268" w:lineRule="auto"/>
        <w:ind w:left="220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90"/>
          <w:sz w:val="24"/>
          <w:szCs w:val="24"/>
        </w:rPr>
        <w:t>Infection is still a common cause of death among solid organ recipients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including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heart,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lung,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proofErr w:type="gramStart"/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kidney</w:t>
      </w:r>
      <w:proofErr w:type="gramEnd"/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,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liver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and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intestine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transplantation.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Very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few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new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tools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have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been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introduced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into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clinical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practice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to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assess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risk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this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complication.</w:t>
      </w:r>
    </w:p>
    <w:p w:rsidR="002B1E72" w:rsidRDefault="00E563F6">
      <w:pPr>
        <w:pStyle w:val="BodyText"/>
        <w:spacing w:before="91" w:line="268" w:lineRule="auto"/>
        <w:ind w:left="220"/>
        <w:jc w:val="both"/>
        <w:rPr>
          <w:rFonts w:ascii="Times New Roman" w:hAnsi="Times New Roman" w:cs="Times New Roman"/>
          <w:spacing w:val="1"/>
          <w:w w:val="95"/>
          <w:sz w:val="24"/>
          <w:szCs w:val="24"/>
        </w:rPr>
      </w:pPr>
      <w:r w:rsidRPr="002B1E72">
        <w:rPr>
          <w:rFonts w:ascii="Times New Roman" w:hAnsi="Times New Roman" w:cs="Times New Roman"/>
          <w:w w:val="90"/>
          <w:sz w:val="24"/>
          <w:szCs w:val="24"/>
        </w:rPr>
        <w:t>During the past 20 years we have been involved in the development of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single and multicenter studies to assess </w:t>
      </w:r>
      <w:proofErr w:type="spellStart"/>
      <w:r w:rsidRPr="002B1E72">
        <w:rPr>
          <w:rFonts w:ascii="Times New Roman" w:hAnsi="Times New Roman" w:cs="Times New Roman"/>
          <w:w w:val="90"/>
          <w:sz w:val="24"/>
          <w:szCs w:val="24"/>
        </w:rPr>
        <w:t>immunemonitoring</w:t>
      </w:r>
      <w:proofErr w:type="spellEnd"/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 as a tool to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identity those recipients at higher risk of having severe infections. The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main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focus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has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been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evaluation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secondary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antibody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deficiency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as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a risk factor of infection in solid organ recipients. We will share the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results of single center, multicenter and </w:t>
      </w:r>
      <w:proofErr w:type="spellStart"/>
      <w:r w:rsidRPr="002B1E72">
        <w:rPr>
          <w:rFonts w:ascii="Times New Roman" w:hAnsi="Times New Roman" w:cs="Times New Roman"/>
          <w:w w:val="90"/>
          <w:sz w:val="24"/>
          <w:szCs w:val="24"/>
        </w:rPr>
        <w:t>metanalysis</w:t>
      </w:r>
      <w:proofErr w:type="spellEnd"/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 studies that have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evaluated </w:t>
      </w:r>
      <w:proofErr w:type="spellStart"/>
      <w:r w:rsidRPr="002B1E72">
        <w:rPr>
          <w:rFonts w:ascii="Times New Roman" w:hAnsi="Times New Roman" w:cs="Times New Roman"/>
          <w:w w:val="95"/>
          <w:sz w:val="24"/>
          <w:szCs w:val="24"/>
        </w:rPr>
        <w:t>IgG</w:t>
      </w:r>
      <w:proofErr w:type="spellEnd"/>
      <w:r w:rsidRPr="002B1E72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proofErr w:type="spellStart"/>
      <w:r w:rsidRPr="002B1E72">
        <w:rPr>
          <w:rFonts w:ascii="Times New Roman" w:hAnsi="Times New Roman" w:cs="Times New Roman"/>
          <w:w w:val="95"/>
          <w:sz w:val="24"/>
          <w:szCs w:val="24"/>
        </w:rPr>
        <w:t>hypogammaglobulinemia</w:t>
      </w:r>
      <w:proofErr w:type="spellEnd"/>
      <w:r w:rsidRPr="002B1E72">
        <w:rPr>
          <w:rFonts w:ascii="Times New Roman" w:hAnsi="Times New Roman" w:cs="Times New Roman"/>
          <w:w w:val="95"/>
          <w:sz w:val="24"/>
          <w:szCs w:val="24"/>
        </w:rPr>
        <w:t xml:space="preserve"> as a risk factor of infection.</w:t>
      </w:r>
      <w:r w:rsidRPr="002B1E72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Also the assessment of specific antibodies will be disclosed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in the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presentation. Both components have been recently introduced as an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updated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indication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for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therapy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with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intravenous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immunoglobulins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patients with secondary antibody deficiencies. We will also disclose our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results on the use of intravenous immunoglobulin to prevent and treat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infections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solid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organ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recipients.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</w:p>
    <w:p w:rsidR="00970B35" w:rsidRPr="002B1E72" w:rsidRDefault="00E563F6">
      <w:pPr>
        <w:pStyle w:val="BodyText"/>
        <w:spacing w:before="91" w:line="268" w:lineRule="auto"/>
        <w:ind w:left="220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b/>
          <w:w w:val="95"/>
          <w:sz w:val="24"/>
          <w:szCs w:val="24"/>
        </w:rPr>
        <w:t>Conclusion</w:t>
      </w:r>
      <w:r w:rsidRPr="002B1E72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b/>
          <w:w w:val="95"/>
          <w:sz w:val="24"/>
          <w:szCs w:val="24"/>
        </w:rPr>
        <w:t>&amp;</w:t>
      </w:r>
      <w:r w:rsidRPr="002B1E72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b/>
          <w:w w:val="95"/>
          <w:sz w:val="24"/>
          <w:szCs w:val="24"/>
        </w:rPr>
        <w:t>Significance: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proofErr w:type="spellStart"/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Immunemonitoring</w:t>
      </w:r>
      <w:proofErr w:type="spellEnd"/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proofErr w:type="spellStart"/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humoral</w:t>
      </w:r>
      <w:proofErr w:type="spellEnd"/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immunity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is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an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important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tool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to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detect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-40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risk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severe</w:t>
      </w:r>
      <w:r w:rsidRPr="002B1E72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infection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solid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organ</w:t>
      </w:r>
      <w:r w:rsidRPr="002B1E72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transplantation.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This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tool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has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been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introduced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recent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clinical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guidelines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to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deal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with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severe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infection</w:t>
      </w:r>
      <w:r w:rsidRPr="002B1E72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after</w:t>
      </w:r>
      <w:r w:rsidRPr="002B1E72">
        <w:rPr>
          <w:rFonts w:ascii="Times New Roman" w:hAnsi="Times New Roman" w:cs="Times New Roman"/>
          <w:spacing w:val="-40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transplantation.</w:t>
      </w:r>
      <w:r w:rsidRPr="002B1E72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</w:t>
      </w:r>
      <w:r w:rsidRPr="002B1E72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modification</w:t>
      </w:r>
      <w:r w:rsidRPr="002B1E72">
        <w:rPr>
          <w:rFonts w:ascii="Times New Roman" w:hAnsi="Times New Roman" w:cs="Times New Roman"/>
          <w:spacing w:val="17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17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EMA</w:t>
      </w:r>
      <w:r w:rsidRPr="002B1E72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guideline</w:t>
      </w:r>
      <w:r w:rsidRPr="002B1E72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for</w:t>
      </w:r>
      <w:r w:rsidRPr="002B1E72">
        <w:rPr>
          <w:rFonts w:ascii="Times New Roman" w:hAnsi="Times New Roman" w:cs="Times New Roman"/>
          <w:spacing w:val="17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indication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of intravenous immunoglobulin between 2017 and 2019 was influenced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in part by these hazards. This has been an important advance, a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modification in clinical practice that will impact in lower rates of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infections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and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deaths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next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years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among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immunosuppressed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patients because of transplant procedures. In addition this will be a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model</w:t>
      </w:r>
      <w:r w:rsidRPr="002B1E7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for</w:t>
      </w:r>
      <w:r w:rsidRPr="002B1E7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other</w:t>
      </w:r>
      <w:r w:rsidRPr="002B1E7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secondary</w:t>
      </w:r>
      <w:r w:rsidRPr="002B1E7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antibody</w:t>
      </w:r>
      <w:r w:rsidRPr="002B1E7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deficiency</w:t>
      </w:r>
      <w:r w:rsidRPr="002B1E7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>states.</w:t>
      </w:r>
    </w:p>
    <w:p w:rsidR="00970B35" w:rsidRPr="002B1E72" w:rsidRDefault="00E563F6">
      <w:pPr>
        <w:pStyle w:val="Heading1"/>
        <w:ind w:left="197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b w:val="0"/>
          <w:sz w:val="24"/>
          <w:szCs w:val="24"/>
        </w:rPr>
        <w:br w:type="column"/>
      </w:r>
      <w:r w:rsidRPr="002B1E72">
        <w:rPr>
          <w:rFonts w:ascii="Times New Roman" w:hAnsi="Times New Roman" w:cs="Times New Roman"/>
          <w:color w:val="BE5A13"/>
          <w:sz w:val="24"/>
          <w:szCs w:val="24"/>
        </w:rPr>
        <w:lastRenderedPageBreak/>
        <w:t>Recent</w:t>
      </w:r>
      <w:r w:rsidRPr="002B1E72">
        <w:rPr>
          <w:rFonts w:ascii="Times New Roman" w:hAnsi="Times New Roman" w:cs="Times New Roman"/>
          <w:color w:val="BE5A13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BE5A13"/>
          <w:sz w:val="24"/>
          <w:szCs w:val="24"/>
        </w:rPr>
        <w:t>Publications</w:t>
      </w:r>
      <w:r w:rsidRPr="002B1E72">
        <w:rPr>
          <w:rFonts w:ascii="Times New Roman" w:hAnsi="Times New Roman" w:cs="Times New Roman"/>
          <w:color w:val="BE5A13"/>
          <w:spacing w:val="-4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BE5A13"/>
          <w:sz w:val="24"/>
          <w:szCs w:val="24"/>
        </w:rPr>
        <w:t>(minimum</w:t>
      </w:r>
      <w:r w:rsidRPr="002B1E72">
        <w:rPr>
          <w:rFonts w:ascii="Times New Roman" w:hAnsi="Times New Roman" w:cs="Times New Roman"/>
          <w:color w:val="BE5A13"/>
          <w:spacing w:val="-4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color w:val="BE5A13"/>
          <w:sz w:val="24"/>
          <w:szCs w:val="24"/>
        </w:rPr>
        <w:t>5)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before="105" w:line="249" w:lineRule="auto"/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90"/>
          <w:sz w:val="24"/>
          <w:szCs w:val="24"/>
        </w:rPr>
        <w:t>Sarmiento E (2021). Secondary antibody deficiency is associated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with development of infection in kidney transplantation: Results of a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multicenter study. Carbone J. </w:t>
      </w:r>
      <w:proofErr w:type="spellStart"/>
      <w:r w:rsidRPr="002B1E72">
        <w:rPr>
          <w:rFonts w:ascii="Times New Roman" w:hAnsi="Times New Roman" w:cs="Times New Roman"/>
          <w:w w:val="90"/>
          <w:sz w:val="24"/>
          <w:szCs w:val="24"/>
        </w:rPr>
        <w:t>Transpl</w:t>
      </w:r>
      <w:proofErr w:type="spellEnd"/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 Infect Dis. 23(2):e13494. </w:t>
      </w:r>
      <w:proofErr w:type="gramStart"/>
      <w:r w:rsidRPr="002B1E72">
        <w:rPr>
          <w:rFonts w:ascii="Times New Roman" w:hAnsi="Times New Roman" w:cs="Times New Roman"/>
          <w:w w:val="90"/>
          <w:sz w:val="24"/>
          <w:szCs w:val="24"/>
        </w:rPr>
        <w:t>doi</w:t>
      </w:r>
      <w:proofErr w:type="gramEnd"/>
      <w:r w:rsidRPr="002B1E72">
        <w:rPr>
          <w:rFonts w:ascii="Times New Roman" w:hAnsi="Times New Roman" w:cs="Times New Roman"/>
          <w:w w:val="90"/>
          <w:sz w:val="24"/>
          <w:szCs w:val="24"/>
        </w:rPr>
        <w:t>: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10.1.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line="24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95"/>
          <w:sz w:val="24"/>
          <w:szCs w:val="24"/>
        </w:rPr>
        <w:t xml:space="preserve">Patel SY, Carbone J, </w:t>
      </w:r>
      <w:proofErr w:type="spellStart"/>
      <w:r w:rsidRPr="002B1E72">
        <w:rPr>
          <w:rFonts w:ascii="Times New Roman" w:hAnsi="Times New Roman" w:cs="Times New Roman"/>
          <w:w w:val="95"/>
          <w:sz w:val="24"/>
          <w:szCs w:val="24"/>
        </w:rPr>
        <w:t>Jolles</w:t>
      </w:r>
      <w:proofErr w:type="spellEnd"/>
      <w:r w:rsidRPr="002B1E72">
        <w:rPr>
          <w:rFonts w:ascii="Times New Roman" w:hAnsi="Times New Roman" w:cs="Times New Roman"/>
          <w:w w:val="95"/>
          <w:sz w:val="24"/>
          <w:szCs w:val="24"/>
        </w:rPr>
        <w:t xml:space="preserve"> S (2019). The Expanding Field of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Secondary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Antibody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Deficiency: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Causes,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Diagnosis,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Management.</w:t>
      </w:r>
      <w:r w:rsidRPr="002B1E72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Front</w:t>
      </w:r>
      <w:r w:rsidRPr="002B1E72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proofErr w:type="spellStart"/>
      <w:r w:rsidRPr="002B1E72">
        <w:rPr>
          <w:rFonts w:ascii="Times New Roman" w:hAnsi="Times New Roman" w:cs="Times New Roman"/>
          <w:w w:val="95"/>
          <w:sz w:val="24"/>
          <w:szCs w:val="24"/>
        </w:rPr>
        <w:t>Immunol</w:t>
      </w:r>
      <w:proofErr w:type="spellEnd"/>
      <w:r w:rsidRPr="002B1E72">
        <w:rPr>
          <w:rFonts w:ascii="Times New Roman" w:hAnsi="Times New Roman" w:cs="Times New Roman"/>
          <w:w w:val="95"/>
          <w:sz w:val="24"/>
          <w:szCs w:val="24"/>
        </w:rPr>
        <w:t>.</w:t>
      </w:r>
      <w:r w:rsidRPr="002B1E72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10:33.</w:t>
      </w:r>
      <w:r w:rsidRPr="002B1E72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doi:</w:t>
      </w:r>
      <w:r w:rsidRPr="002B1E72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10.3389.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before="96" w:line="252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Sarmiento E (2018). Monitoring of early </w:t>
      </w:r>
      <w:proofErr w:type="spellStart"/>
      <w:r w:rsidRPr="002B1E72">
        <w:rPr>
          <w:rFonts w:ascii="Times New Roman" w:hAnsi="Times New Roman" w:cs="Times New Roman"/>
          <w:w w:val="90"/>
          <w:sz w:val="24"/>
          <w:szCs w:val="24"/>
        </w:rPr>
        <w:t>humoral</w:t>
      </w:r>
      <w:proofErr w:type="spellEnd"/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 immunity to identify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lung recipients at risk for development of serious infections: A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multicenter prospective study. J Carbone. J Heart Lung Transplant.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37(8):1001-1012.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2B1E72">
        <w:rPr>
          <w:rFonts w:ascii="Times New Roman" w:hAnsi="Times New Roman" w:cs="Times New Roman"/>
          <w:sz w:val="24"/>
          <w:szCs w:val="24"/>
        </w:rPr>
        <w:t>doi</w:t>
      </w:r>
      <w:proofErr w:type="gramEnd"/>
      <w:r w:rsidRPr="002B1E72">
        <w:rPr>
          <w:rFonts w:ascii="Times New Roman" w:hAnsi="Times New Roman" w:cs="Times New Roman"/>
          <w:sz w:val="24"/>
          <w:szCs w:val="24"/>
        </w:rPr>
        <w:t>: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10.1016.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line="252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85"/>
          <w:sz w:val="24"/>
          <w:szCs w:val="24"/>
        </w:rPr>
        <w:t xml:space="preserve">Sarmiento E (2017). Evaluation of </w:t>
      </w:r>
      <w:proofErr w:type="spellStart"/>
      <w:r w:rsidRPr="002B1E72">
        <w:rPr>
          <w:rFonts w:ascii="Times New Roman" w:hAnsi="Times New Roman" w:cs="Times New Roman"/>
          <w:w w:val="85"/>
          <w:sz w:val="24"/>
          <w:szCs w:val="24"/>
        </w:rPr>
        <w:t>humoral</w:t>
      </w:r>
      <w:proofErr w:type="spellEnd"/>
      <w:r w:rsidRPr="002B1E72">
        <w:rPr>
          <w:rFonts w:ascii="Times New Roman" w:hAnsi="Times New Roman" w:cs="Times New Roman"/>
          <w:w w:val="85"/>
          <w:sz w:val="24"/>
          <w:szCs w:val="24"/>
        </w:rPr>
        <w:t xml:space="preserve"> immunity profiles to identify</w:t>
      </w:r>
      <w:r w:rsidRPr="002B1E72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heart recipients at risk for development of severe infections: A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multicenter prospective study. Carbone J. J Heart Lung Transplant.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2017.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36(5):529-539.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2B1E72">
        <w:rPr>
          <w:rFonts w:ascii="Times New Roman" w:hAnsi="Times New Roman" w:cs="Times New Roman"/>
          <w:sz w:val="24"/>
          <w:szCs w:val="24"/>
        </w:rPr>
        <w:t>doi</w:t>
      </w:r>
      <w:proofErr w:type="gramEnd"/>
      <w:r w:rsidRPr="002B1E72">
        <w:rPr>
          <w:rFonts w:ascii="Times New Roman" w:hAnsi="Times New Roman" w:cs="Times New Roman"/>
          <w:sz w:val="24"/>
          <w:szCs w:val="24"/>
        </w:rPr>
        <w:t>: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10.1016.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before="82" w:line="24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Sarmiento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(2016).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Early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intravenous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immunoglobulin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replacement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in </w:t>
      </w:r>
      <w:proofErr w:type="spellStart"/>
      <w:r w:rsidRPr="002B1E72">
        <w:rPr>
          <w:rFonts w:ascii="Times New Roman" w:hAnsi="Times New Roman" w:cs="Times New Roman"/>
          <w:w w:val="90"/>
          <w:sz w:val="24"/>
          <w:szCs w:val="24"/>
        </w:rPr>
        <w:t>hypogammaglobulinemic</w:t>
      </w:r>
      <w:proofErr w:type="spellEnd"/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 heart transplant recipients: results of a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>clinical</w:t>
      </w:r>
      <w:r w:rsidRPr="002B1E72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>trial.</w:t>
      </w:r>
      <w:r w:rsidRPr="002B1E7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>Carbone</w:t>
      </w:r>
      <w:r w:rsidRPr="002B1E72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>J.</w:t>
      </w:r>
      <w:r w:rsidRPr="002B1E7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proofErr w:type="spellStart"/>
      <w:r w:rsidRPr="002B1E72">
        <w:rPr>
          <w:rFonts w:ascii="Times New Roman" w:hAnsi="Times New Roman" w:cs="Times New Roman"/>
          <w:spacing w:val="-1"/>
          <w:w w:val="95"/>
          <w:sz w:val="24"/>
          <w:szCs w:val="24"/>
        </w:rPr>
        <w:t>Transpl</w:t>
      </w:r>
      <w:proofErr w:type="spellEnd"/>
      <w:r w:rsidRPr="002B1E72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Infect</w:t>
      </w:r>
      <w:r w:rsidRPr="002B1E7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Dis.</w:t>
      </w:r>
      <w:r w:rsidRPr="002B1E72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2016</w:t>
      </w:r>
      <w:r w:rsidRPr="002B1E72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Dec</w:t>
      </w:r>
      <w:proofErr w:type="gramStart"/>
      <w:r w:rsidRPr="002B1E72">
        <w:rPr>
          <w:rFonts w:ascii="Times New Roman" w:hAnsi="Times New Roman" w:cs="Times New Roman"/>
          <w:w w:val="95"/>
          <w:sz w:val="24"/>
          <w:szCs w:val="24"/>
        </w:rPr>
        <w:t>;18</w:t>
      </w:r>
      <w:proofErr w:type="gramEnd"/>
      <w:r w:rsidRPr="002B1E72">
        <w:rPr>
          <w:rFonts w:ascii="Times New Roman" w:hAnsi="Times New Roman" w:cs="Times New Roman"/>
          <w:w w:val="95"/>
          <w:sz w:val="24"/>
          <w:szCs w:val="24"/>
        </w:rPr>
        <w:t>(6).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before="86" w:line="252" w:lineRule="auto"/>
        <w:ind w:right="256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85"/>
          <w:sz w:val="24"/>
          <w:szCs w:val="24"/>
        </w:rPr>
        <w:t xml:space="preserve">Carbone J (2016). The Immunology of </w:t>
      </w:r>
      <w:proofErr w:type="spellStart"/>
      <w:r w:rsidRPr="002B1E72">
        <w:rPr>
          <w:rFonts w:ascii="Times New Roman" w:hAnsi="Times New Roman" w:cs="Times New Roman"/>
          <w:w w:val="85"/>
          <w:sz w:val="24"/>
          <w:szCs w:val="24"/>
        </w:rPr>
        <w:t>Posttransplant</w:t>
      </w:r>
      <w:proofErr w:type="spellEnd"/>
      <w:r w:rsidRPr="002B1E72">
        <w:rPr>
          <w:rFonts w:ascii="Times New Roman" w:hAnsi="Times New Roman" w:cs="Times New Roman"/>
          <w:w w:val="85"/>
          <w:sz w:val="24"/>
          <w:szCs w:val="24"/>
        </w:rPr>
        <w:t xml:space="preserve"> CMV Infection:</w:t>
      </w:r>
      <w:r w:rsidRPr="002B1E72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Potential</w:t>
      </w:r>
      <w:r w:rsidRPr="002B1E72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Effect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CMV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0"/>
          <w:sz w:val="24"/>
          <w:szCs w:val="24"/>
        </w:rPr>
        <w:t>Immunoglobulins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on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Distinct</w:t>
      </w:r>
      <w:r w:rsidRPr="002B1E72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Components</w:t>
      </w:r>
      <w:r w:rsidRPr="002B1E72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the Immune Response to CMV. Transplantation. 2016</w:t>
      </w:r>
      <w:proofErr w:type="gramStart"/>
      <w:r w:rsidRPr="002B1E72">
        <w:rPr>
          <w:rFonts w:ascii="Times New Roman" w:hAnsi="Times New Roman" w:cs="Times New Roman"/>
          <w:w w:val="90"/>
          <w:sz w:val="24"/>
          <w:szCs w:val="24"/>
        </w:rPr>
        <w:t>;100</w:t>
      </w:r>
      <w:proofErr w:type="gramEnd"/>
      <w:r w:rsidRPr="002B1E72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proofErr w:type="spellStart"/>
      <w:r w:rsidRPr="002B1E72">
        <w:rPr>
          <w:rFonts w:ascii="Times New Roman" w:hAnsi="Times New Roman" w:cs="Times New Roman"/>
          <w:w w:val="90"/>
          <w:sz w:val="24"/>
          <w:szCs w:val="24"/>
        </w:rPr>
        <w:t>Suppl</w:t>
      </w:r>
      <w:proofErr w:type="spellEnd"/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3</w:t>
      </w:r>
      <w:r w:rsidRPr="002B1E72">
        <w:rPr>
          <w:rFonts w:ascii="Times New Roman" w:hAnsi="Times New Roman" w:cs="Times New Roman"/>
          <w:spacing w:val="-1"/>
          <w:w w:val="81"/>
          <w:sz w:val="24"/>
          <w:szCs w:val="24"/>
        </w:rPr>
        <w:t>(</w:t>
      </w:r>
      <w:proofErr w:type="spellStart"/>
      <w:r w:rsidRPr="002B1E72">
        <w:rPr>
          <w:rFonts w:ascii="Times New Roman" w:hAnsi="Times New Roman" w:cs="Times New Roman"/>
          <w:spacing w:val="1"/>
          <w:w w:val="74"/>
          <w:sz w:val="24"/>
          <w:szCs w:val="24"/>
        </w:rPr>
        <w:t>S</w:t>
      </w:r>
      <w:r w:rsidRPr="002B1E72">
        <w:rPr>
          <w:rFonts w:ascii="Times New Roman" w:hAnsi="Times New Roman" w:cs="Times New Roman"/>
          <w:w w:val="88"/>
          <w:sz w:val="24"/>
          <w:szCs w:val="24"/>
        </w:rPr>
        <w:t>u</w:t>
      </w:r>
      <w:r w:rsidRPr="002B1E72">
        <w:rPr>
          <w:rFonts w:ascii="Times New Roman" w:hAnsi="Times New Roman" w:cs="Times New Roman"/>
          <w:spacing w:val="-1"/>
          <w:w w:val="88"/>
          <w:sz w:val="24"/>
          <w:szCs w:val="24"/>
        </w:rPr>
        <w:t>p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2B1E72">
        <w:rPr>
          <w:rFonts w:ascii="Times New Roman" w:hAnsi="Times New Roman" w:cs="Times New Roman"/>
          <w:w w:val="96"/>
          <w:sz w:val="24"/>
          <w:szCs w:val="24"/>
        </w:rPr>
        <w:t>l</w:t>
      </w:r>
      <w:proofErr w:type="spellEnd"/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3</w:t>
      </w:r>
      <w:r w:rsidRPr="002B1E72">
        <w:rPr>
          <w:rFonts w:ascii="Times New Roman" w:hAnsi="Times New Roman" w:cs="Times New Roman"/>
          <w:spacing w:val="-1"/>
          <w:w w:val="81"/>
          <w:sz w:val="24"/>
          <w:szCs w:val="24"/>
        </w:rPr>
        <w:t>)</w:t>
      </w:r>
      <w:r w:rsidRPr="002B1E72">
        <w:rPr>
          <w:rFonts w:ascii="Times New Roman" w:hAnsi="Times New Roman" w:cs="Times New Roman"/>
          <w:w w:val="78"/>
          <w:sz w:val="24"/>
          <w:szCs w:val="24"/>
        </w:rPr>
        <w:t>:</w:t>
      </w:r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1"/>
          <w:w w:val="74"/>
          <w:sz w:val="24"/>
          <w:szCs w:val="24"/>
        </w:rPr>
        <w:t>S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11</w:t>
      </w:r>
      <w:r w:rsidRPr="002B1E72">
        <w:rPr>
          <w:rFonts w:ascii="Times New Roman" w:hAnsi="Times New Roman" w:cs="Times New Roman"/>
          <w:sz w:val="24"/>
          <w:szCs w:val="24"/>
        </w:rPr>
        <w:t>-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8</w:t>
      </w:r>
      <w:r w:rsidRPr="002B1E72">
        <w:rPr>
          <w:rFonts w:ascii="Times New Roman" w:hAnsi="Times New Roman" w:cs="Times New Roman"/>
          <w:w w:val="78"/>
          <w:sz w:val="24"/>
          <w:szCs w:val="24"/>
        </w:rPr>
        <w:t>.</w:t>
      </w:r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2B1E72">
        <w:rPr>
          <w:rFonts w:ascii="Times New Roman" w:hAnsi="Times New Roman" w:cs="Times New Roman"/>
          <w:spacing w:val="1"/>
          <w:w w:val="89"/>
          <w:sz w:val="24"/>
          <w:szCs w:val="24"/>
        </w:rPr>
        <w:t>o</w:t>
      </w:r>
      <w:r w:rsidRPr="002B1E72">
        <w:rPr>
          <w:rFonts w:ascii="Times New Roman" w:hAnsi="Times New Roman" w:cs="Times New Roman"/>
          <w:spacing w:val="-2"/>
          <w:w w:val="96"/>
          <w:sz w:val="24"/>
          <w:szCs w:val="24"/>
        </w:rPr>
        <w:t>i</w:t>
      </w:r>
      <w:proofErr w:type="gramEnd"/>
      <w:r w:rsidRPr="002B1E72">
        <w:rPr>
          <w:rFonts w:ascii="Times New Roman" w:hAnsi="Times New Roman" w:cs="Times New Roman"/>
          <w:w w:val="78"/>
          <w:sz w:val="24"/>
          <w:szCs w:val="24"/>
        </w:rPr>
        <w:t>:</w:t>
      </w:r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1"/>
          <w:w w:val="78"/>
          <w:sz w:val="24"/>
          <w:szCs w:val="24"/>
        </w:rPr>
        <w:t>.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10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9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7</w:t>
      </w:r>
      <w:r w:rsidRPr="002B1E72">
        <w:rPr>
          <w:rFonts w:ascii="Times New Roman" w:hAnsi="Times New Roman" w:cs="Times New Roman"/>
          <w:spacing w:val="1"/>
          <w:w w:val="179"/>
          <w:sz w:val="24"/>
          <w:szCs w:val="24"/>
        </w:rPr>
        <w:t>/</w:t>
      </w:r>
      <w:r w:rsidRPr="002B1E72">
        <w:rPr>
          <w:rFonts w:ascii="Times New Roman" w:hAnsi="Times New Roman" w:cs="Times New Roman"/>
          <w:w w:val="73"/>
          <w:sz w:val="24"/>
          <w:szCs w:val="24"/>
        </w:rPr>
        <w:t>T</w:t>
      </w:r>
      <w:r w:rsidRPr="002B1E72">
        <w:rPr>
          <w:rFonts w:ascii="Times New Roman" w:hAnsi="Times New Roman" w:cs="Times New Roman"/>
          <w:spacing w:val="1"/>
          <w:w w:val="73"/>
          <w:sz w:val="24"/>
          <w:szCs w:val="24"/>
        </w:rPr>
        <w:t>P</w:t>
      </w:r>
      <w:r w:rsidRPr="002B1E72">
        <w:rPr>
          <w:rFonts w:ascii="Times New Roman" w:hAnsi="Times New Roman" w:cs="Times New Roman"/>
          <w:spacing w:val="-2"/>
          <w:w w:val="78"/>
          <w:sz w:val="24"/>
          <w:szCs w:val="24"/>
        </w:rPr>
        <w:t>.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000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00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00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1</w:t>
      </w:r>
      <w:r w:rsidRPr="002B1E72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2B1E72">
        <w:rPr>
          <w:rFonts w:ascii="Times New Roman" w:hAnsi="Times New Roman" w:cs="Times New Roman"/>
          <w:spacing w:val="-1"/>
          <w:w w:val="99"/>
          <w:sz w:val="24"/>
          <w:szCs w:val="24"/>
        </w:rPr>
        <w:t>95</w:t>
      </w:r>
      <w:r w:rsidRPr="002B1E72">
        <w:rPr>
          <w:rFonts w:ascii="Times New Roman" w:hAnsi="Times New Roman" w:cs="Times New Roman"/>
          <w:w w:val="78"/>
          <w:sz w:val="24"/>
          <w:szCs w:val="24"/>
        </w:rPr>
        <w:t>.</w:t>
      </w:r>
    </w:p>
    <w:p w:rsidR="00970B35" w:rsidRPr="002B1E72" w:rsidRDefault="00E563F6">
      <w:pPr>
        <w:pStyle w:val="ListParagraph"/>
        <w:numPr>
          <w:ilvl w:val="0"/>
          <w:numId w:val="1"/>
        </w:numPr>
        <w:tabs>
          <w:tab w:val="left" w:pos="481"/>
        </w:tabs>
        <w:spacing w:before="79" w:line="249" w:lineRule="auto"/>
        <w:ind w:right="252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w w:val="85"/>
          <w:sz w:val="24"/>
          <w:szCs w:val="24"/>
        </w:rPr>
        <w:t xml:space="preserve">Carbone J (2012). Restoration of </w:t>
      </w:r>
      <w:proofErr w:type="spellStart"/>
      <w:r w:rsidRPr="002B1E72">
        <w:rPr>
          <w:rFonts w:ascii="Times New Roman" w:hAnsi="Times New Roman" w:cs="Times New Roman"/>
          <w:w w:val="85"/>
          <w:sz w:val="24"/>
          <w:szCs w:val="24"/>
        </w:rPr>
        <w:t>humoral</w:t>
      </w:r>
      <w:proofErr w:type="spellEnd"/>
      <w:r w:rsidRPr="002B1E72">
        <w:rPr>
          <w:rFonts w:ascii="Times New Roman" w:hAnsi="Times New Roman" w:cs="Times New Roman"/>
          <w:w w:val="85"/>
          <w:sz w:val="24"/>
          <w:szCs w:val="24"/>
        </w:rPr>
        <w:t xml:space="preserve"> immunity after intravenous</w:t>
      </w:r>
      <w:r w:rsidRPr="002B1E72">
        <w:rPr>
          <w:rFonts w:ascii="Times New Roman" w:hAnsi="Times New Roman" w:cs="Times New Roman"/>
          <w:spacing w:val="1"/>
          <w:w w:val="8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0"/>
          <w:sz w:val="24"/>
          <w:szCs w:val="24"/>
        </w:rPr>
        <w:t>immunoglobulin replacement therapy in heart recipients with post-</w:t>
      </w:r>
      <w:r w:rsidRPr="002B1E72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transplant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antibody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deficiency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severe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infections.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w w:val="95"/>
          <w:sz w:val="24"/>
          <w:szCs w:val="24"/>
        </w:rPr>
        <w:t>Clin</w:t>
      </w:r>
      <w:r w:rsidRPr="002B1E72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Transplant.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26(3):E277-83.</w:t>
      </w:r>
    </w:p>
    <w:p w:rsidR="00970B35" w:rsidRPr="002B1E72" w:rsidRDefault="00970B35">
      <w:pPr>
        <w:spacing w:line="249" w:lineRule="auto"/>
        <w:jc w:val="both"/>
        <w:rPr>
          <w:rFonts w:ascii="Times New Roman" w:hAnsi="Times New Roman" w:cs="Times New Roman"/>
          <w:sz w:val="24"/>
          <w:szCs w:val="24"/>
        </w:rPr>
        <w:sectPr w:rsidR="00970B35" w:rsidRPr="002B1E72">
          <w:type w:val="continuous"/>
          <w:pgSz w:w="11920" w:h="16850"/>
          <w:pgMar w:top="1120" w:right="480" w:bottom="280" w:left="500" w:header="720" w:footer="720" w:gutter="0"/>
          <w:cols w:num="2" w:space="720" w:equalWidth="0">
            <w:col w:w="5336" w:space="40"/>
            <w:col w:w="5564"/>
          </w:cols>
        </w:sectPr>
      </w:pPr>
    </w:p>
    <w:p w:rsidR="00970B35" w:rsidRPr="002B1E72" w:rsidRDefault="00970B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spacing w:line="40" w:lineRule="exact"/>
        <w:ind w:left="2324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970B35" w:rsidRDefault="00970B35" w:rsidP="002B1E72">
      <w:pPr>
        <w:spacing w:before="93"/>
        <w:rPr>
          <w:rFonts w:ascii="Times New Roman" w:hAnsi="Times New Roman" w:cs="Times New Roman"/>
          <w:color w:val="BE5A13"/>
          <w:sz w:val="24"/>
          <w:szCs w:val="24"/>
        </w:rPr>
      </w:pPr>
    </w:p>
    <w:p w:rsidR="002B1E72" w:rsidRPr="002B1E72" w:rsidRDefault="002B1E72" w:rsidP="002B1E72">
      <w:pPr>
        <w:spacing w:before="93"/>
        <w:rPr>
          <w:rFonts w:ascii="Times New Roman" w:hAnsi="Times New Roman" w:cs="Times New Roman"/>
          <w:b/>
          <w:sz w:val="24"/>
          <w:szCs w:val="24"/>
        </w:rPr>
      </w:pPr>
      <w:r w:rsidRPr="002B1E72">
        <w:rPr>
          <w:rFonts w:ascii="Times New Roman" w:hAnsi="Times New Roman" w:cs="Times New Roman"/>
          <w:b/>
          <w:color w:val="BE5A13"/>
          <w:sz w:val="24"/>
          <w:szCs w:val="24"/>
        </w:rPr>
        <w:lastRenderedPageBreak/>
        <w:t>Biography:</w:t>
      </w:r>
    </w:p>
    <w:p w:rsidR="002B1E72" w:rsidRDefault="002B1E72">
      <w:pPr>
        <w:spacing w:before="36" w:line="230" w:lineRule="auto"/>
        <w:ind w:left="332" w:right="346"/>
        <w:jc w:val="both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E563F6" w:rsidP="002B1E72">
      <w:pPr>
        <w:spacing w:before="36" w:line="230" w:lineRule="auto"/>
        <w:ind w:right="346"/>
        <w:jc w:val="both"/>
        <w:rPr>
          <w:rFonts w:ascii="Times New Roman" w:hAnsi="Times New Roman" w:cs="Times New Roman"/>
          <w:sz w:val="24"/>
          <w:szCs w:val="24"/>
        </w:rPr>
      </w:pP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Javier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Carbone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has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his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expertise</w:t>
      </w:r>
      <w:r w:rsidRPr="002B1E7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evaluation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and</w:t>
      </w:r>
      <w:r w:rsidRPr="002B1E7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passion</w:t>
      </w:r>
      <w:r w:rsidRPr="002B1E7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improving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health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and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wellbeing.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He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is</w:t>
      </w:r>
      <w:r w:rsidRPr="002B1E7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a</w:t>
      </w:r>
      <w:r w:rsidRPr="002B1E7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leading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expert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in</w:t>
      </w:r>
      <w:r w:rsidRPr="002B1E7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transplant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immunology.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Member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the</w:t>
      </w:r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International Society of Heart and Lung Transplantation, Transplantation Society, Clinical Immunology Society, European Society for Organ Transplantation. His open</w:t>
      </w:r>
      <w:r w:rsidRPr="002B1E72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and contextual evaluation of secondary antibody deficiency in solid organ transplantation has changed clinical practice and improving healthcare for these high</w:t>
      </w:r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vulnerable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patients.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He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has built this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model after 20 years</w:t>
      </w:r>
      <w:r w:rsidRPr="002B1E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of experience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in research, evaluation,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teaching and</w:t>
      </w:r>
      <w:r w:rsidRPr="002B1E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administration</w:t>
      </w:r>
      <w:r w:rsidRPr="002B1E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of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B1E72" w:rsidRPr="002B1E72">
        <w:rPr>
          <w:rFonts w:ascii="Times New Roman" w:hAnsi="Times New Roman" w:cs="Times New Roman"/>
          <w:sz w:val="24"/>
          <w:szCs w:val="24"/>
        </w:rPr>
        <w:t>immune based</w:t>
      </w:r>
      <w:r w:rsidRPr="002B1E7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B1E72">
        <w:rPr>
          <w:rFonts w:ascii="Times New Roman" w:hAnsi="Times New Roman" w:cs="Times New Roman"/>
          <w:sz w:val="24"/>
          <w:szCs w:val="24"/>
        </w:rPr>
        <w:t>therapies.</w:t>
      </w:r>
    </w:p>
    <w:p w:rsidR="00970B35" w:rsidRPr="002B1E72" w:rsidRDefault="00970B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0B35" w:rsidRPr="002B1E72" w:rsidRDefault="00970B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0B35" w:rsidRDefault="00970B35">
      <w:pPr>
        <w:spacing w:line="230" w:lineRule="auto"/>
        <w:rPr>
          <w:sz w:val="20"/>
        </w:rPr>
        <w:sectPr w:rsidR="00970B35">
          <w:type w:val="continuous"/>
          <w:pgSz w:w="11920" w:h="16850"/>
          <w:pgMar w:top="1120" w:right="480" w:bottom="280" w:left="500" w:header="720" w:footer="720" w:gutter="0"/>
          <w:cols w:space="720"/>
        </w:sectPr>
      </w:pPr>
    </w:p>
    <w:p w:rsidR="00970B35" w:rsidRDefault="00970B35" w:rsidP="00E563F6">
      <w:pPr>
        <w:pStyle w:val="BodyText"/>
        <w:spacing w:before="7"/>
        <w:rPr>
          <w:sz w:val="17"/>
        </w:rPr>
      </w:pPr>
    </w:p>
    <w:sectPr w:rsidR="00970B35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16E52"/>
    <w:multiLevelType w:val="hybridMultilevel"/>
    <w:tmpl w:val="1E28546A"/>
    <w:lvl w:ilvl="0" w:tplc="D28E0FA4">
      <w:start w:val="1"/>
      <w:numFmt w:val="decimal"/>
      <w:lvlText w:val="%1."/>
      <w:lvlJc w:val="left"/>
      <w:pPr>
        <w:ind w:left="480" w:hanging="286"/>
        <w:jc w:val="lef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6C5C7E86">
      <w:numFmt w:val="bullet"/>
      <w:lvlText w:val="•"/>
      <w:lvlJc w:val="left"/>
      <w:pPr>
        <w:ind w:left="987" w:hanging="286"/>
      </w:pPr>
      <w:rPr>
        <w:rFonts w:hint="default"/>
        <w:lang w:val="en-US" w:eastAsia="en-US" w:bidi="ar-SA"/>
      </w:rPr>
    </w:lvl>
    <w:lvl w:ilvl="2" w:tplc="48E02656">
      <w:numFmt w:val="bullet"/>
      <w:lvlText w:val="•"/>
      <w:lvlJc w:val="left"/>
      <w:pPr>
        <w:ind w:left="1495" w:hanging="286"/>
      </w:pPr>
      <w:rPr>
        <w:rFonts w:hint="default"/>
        <w:lang w:val="en-US" w:eastAsia="en-US" w:bidi="ar-SA"/>
      </w:rPr>
    </w:lvl>
    <w:lvl w:ilvl="3" w:tplc="291EBC10">
      <w:numFmt w:val="bullet"/>
      <w:lvlText w:val="•"/>
      <w:lvlJc w:val="left"/>
      <w:pPr>
        <w:ind w:left="2002" w:hanging="286"/>
      </w:pPr>
      <w:rPr>
        <w:rFonts w:hint="default"/>
        <w:lang w:val="en-US" w:eastAsia="en-US" w:bidi="ar-SA"/>
      </w:rPr>
    </w:lvl>
    <w:lvl w:ilvl="4" w:tplc="60200D62">
      <w:numFmt w:val="bullet"/>
      <w:lvlText w:val="•"/>
      <w:lvlJc w:val="left"/>
      <w:pPr>
        <w:ind w:left="2510" w:hanging="286"/>
      </w:pPr>
      <w:rPr>
        <w:rFonts w:hint="default"/>
        <w:lang w:val="en-US" w:eastAsia="en-US" w:bidi="ar-SA"/>
      </w:rPr>
    </w:lvl>
    <w:lvl w:ilvl="5" w:tplc="BAC46A06">
      <w:numFmt w:val="bullet"/>
      <w:lvlText w:val="•"/>
      <w:lvlJc w:val="left"/>
      <w:pPr>
        <w:ind w:left="3017" w:hanging="286"/>
      </w:pPr>
      <w:rPr>
        <w:rFonts w:hint="default"/>
        <w:lang w:val="en-US" w:eastAsia="en-US" w:bidi="ar-SA"/>
      </w:rPr>
    </w:lvl>
    <w:lvl w:ilvl="6" w:tplc="D4E25C0E">
      <w:numFmt w:val="bullet"/>
      <w:lvlText w:val="•"/>
      <w:lvlJc w:val="left"/>
      <w:pPr>
        <w:ind w:left="3525" w:hanging="286"/>
      </w:pPr>
      <w:rPr>
        <w:rFonts w:hint="default"/>
        <w:lang w:val="en-US" w:eastAsia="en-US" w:bidi="ar-SA"/>
      </w:rPr>
    </w:lvl>
    <w:lvl w:ilvl="7" w:tplc="19900382">
      <w:numFmt w:val="bullet"/>
      <w:lvlText w:val="•"/>
      <w:lvlJc w:val="left"/>
      <w:pPr>
        <w:ind w:left="4032" w:hanging="286"/>
      </w:pPr>
      <w:rPr>
        <w:rFonts w:hint="default"/>
        <w:lang w:val="en-US" w:eastAsia="en-US" w:bidi="ar-SA"/>
      </w:rPr>
    </w:lvl>
    <w:lvl w:ilvl="8" w:tplc="FA60D580">
      <w:numFmt w:val="bullet"/>
      <w:lvlText w:val="•"/>
      <w:lvlJc w:val="left"/>
      <w:pPr>
        <w:ind w:left="4540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0B35"/>
    <w:rsid w:val="002B1E72"/>
    <w:rsid w:val="00970B35"/>
    <w:rsid w:val="00E5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77"/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0"/>
      <w:ind w:left="119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1"/>
      <w:ind w:left="480" w:right="253" w:hanging="28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77"/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0"/>
      <w:ind w:left="119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1"/>
      <w:ind w:left="480" w:right="253" w:hanging="28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Vascular Dementia</cp:lastModifiedBy>
  <cp:revision>2</cp:revision>
  <dcterms:created xsi:type="dcterms:W3CDTF">2022-10-20T06:08:00Z</dcterms:created>
  <dcterms:modified xsi:type="dcterms:W3CDTF">2022-10-20T06:08:00Z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2022-10-20T00:00:00Z</vt:filetime>
  </property>
</Properties>
</file>