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D1EC9" w14:textId="1E20F149" w:rsidR="003C74FE" w:rsidRPr="00B52352" w:rsidRDefault="003C74FE" w:rsidP="00B52352">
      <w:pPr>
        <w:pStyle w:val="Title"/>
        <w:spacing w:before="10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Determinants_of_under-five_mortality_in_"/>
      <w:bookmarkEnd w:id="0"/>
      <w:r w:rsidRPr="00B52352">
        <w:rPr>
          <w:rFonts w:ascii="Times New Roman" w:hAnsi="Times New Roman" w:cs="Times New Roman"/>
          <w:b/>
          <w:bCs/>
          <w:sz w:val="28"/>
          <w:szCs w:val="28"/>
        </w:rPr>
        <w:t>Determinants</w:t>
      </w:r>
      <w:r w:rsidRPr="00B52352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52352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B52352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52352">
        <w:rPr>
          <w:rFonts w:ascii="Times New Roman" w:hAnsi="Times New Roman" w:cs="Times New Roman"/>
          <w:b/>
          <w:bCs/>
          <w:sz w:val="28"/>
          <w:szCs w:val="28"/>
        </w:rPr>
        <w:t>under-five</w:t>
      </w:r>
      <w:r w:rsidRPr="00B52352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52352">
        <w:rPr>
          <w:rFonts w:ascii="Times New Roman" w:hAnsi="Times New Roman" w:cs="Times New Roman"/>
          <w:b/>
          <w:bCs/>
          <w:spacing w:val="-2"/>
          <w:sz w:val="28"/>
          <w:szCs w:val="28"/>
        </w:rPr>
        <w:t>mortality in Ethiopia;</w:t>
      </w:r>
      <w:r w:rsidRPr="00B52352">
        <w:rPr>
          <w:rFonts w:ascii="Times New Roman" w:hAnsi="Times New Roman" w:cs="Times New Roman"/>
          <w:b/>
          <w:bCs/>
          <w:sz w:val="28"/>
          <w:szCs w:val="28"/>
        </w:rPr>
        <w:t xml:space="preserve"> Using the recent 2019 Ethiopian demographic and health survey data: Nested shared frailty survival analysis</w:t>
      </w:r>
    </w:p>
    <w:p w14:paraId="77239E8E" w14:textId="3A110DB5" w:rsidR="00F75C9E" w:rsidRPr="00B52352" w:rsidRDefault="00F75C9E" w:rsidP="00B52352">
      <w:pPr>
        <w:pStyle w:val="Title"/>
        <w:spacing w:before="100" w:line="276" w:lineRule="auto"/>
        <w:jc w:val="both"/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</w:pPr>
      <w:r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>Belete Ayele</w:t>
      </w:r>
      <w:r w:rsidR="00B52352"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 xml:space="preserve"> </w:t>
      </w:r>
      <w:r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>|</w:t>
      </w:r>
      <w:bookmarkStart w:id="1" w:name="_GoBack"/>
      <w:r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>PHD Candidate University of Newcastle Australia</w:t>
      </w:r>
    </w:p>
    <w:p w14:paraId="2F6C7968" w14:textId="0E60FE86" w:rsidR="003C74FE" w:rsidRPr="00B52352" w:rsidRDefault="00F75C9E" w:rsidP="00B52352">
      <w:pPr>
        <w:pStyle w:val="Title"/>
        <w:spacing w:before="100" w:line="276" w:lineRule="auto"/>
        <w:jc w:val="both"/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 xml:space="preserve">Wogeda </w:t>
      </w:r>
      <w:r w:rsidR="00B52352" w:rsidRPr="00B52352">
        <w:rPr>
          <w:rFonts w:ascii="Times New Roman" w:hAnsi="Times New Roman" w:cs="Times New Roman"/>
          <w:color w:val="4472C4" w:themeColor="accent1"/>
          <w:sz w:val="22"/>
          <w:szCs w:val="22"/>
          <w:lang w:val="en-AU"/>
        </w:rPr>
        <w:t>Primary Hospital CEO, Amhara Health Bureau, Ethiopia</w:t>
      </w:r>
      <w:r w:rsidR="00B52352" w:rsidRPr="00B52352">
        <w:rPr>
          <w:rFonts w:ascii="Times New Roman" w:hAnsi="Times New Roman" w:cs="Times New Roman"/>
          <w:b/>
          <w:bCs/>
          <w:sz w:val="24"/>
          <w:szCs w:val="24"/>
          <w:lang w:val="en-AU"/>
        </w:rPr>
        <w:t>.</w:t>
      </w:r>
      <w:r w:rsidRPr="00B52352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="00B52352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</w:p>
    <w:bookmarkEnd w:id="1"/>
    <w:p w14:paraId="7D9B4499" w14:textId="77777777" w:rsidR="003C74FE" w:rsidRDefault="003C74FE" w:rsidP="003C74FE">
      <w:pPr>
        <w:pStyle w:val="Heading1"/>
      </w:pPr>
      <w:r>
        <w:t>Abstract</w:t>
      </w:r>
    </w:p>
    <w:p w14:paraId="48A3A1EF" w14:textId="3F77C3C2" w:rsidR="003C74FE" w:rsidRDefault="003C74FE" w:rsidP="003C74FE">
      <w:pPr>
        <w:spacing w:after="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Worldwide, there is remarkable progress in child survival in the past three decades. Despite, this progress in sub-Saharan Africa still the highest burden of under-five mortality is reported. Ethiopia is off-track on sustainable development targets in under-five mortality since 2020. </w:t>
      </w:r>
      <w:r w:rsidR="00954A36">
        <w:rPr>
          <w:rFonts w:ascii="Times New Roman" w:eastAsiaTheme="majorEastAsia" w:hAnsi="Times New Roman" w:cs="Times New Roman"/>
          <w:sz w:val="24"/>
          <w:szCs w:val="24"/>
        </w:rPr>
        <w:t>This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study aimed to investigate </w:t>
      </w:r>
      <w:r w:rsidR="00954A36">
        <w:rPr>
          <w:rFonts w:ascii="Times New Roman" w:eastAsiaTheme="majorEastAsia" w:hAnsi="Times New Roman" w:cs="Times New Roman"/>
          <w:sz w:val="24"/>
          <w:szCs w:val="24"/>
        </w:rPr>
        <w:t>the prevalence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and its </w:t>
      </w:r>
      <w:r w:rsidR="00954A36">
        <w:rPr>
          <w:rFonts w:ascii="Times New Roman" w:eastAsiaTheme="majorEastAsia" w:hAnsi="Times New Roman" w:cs="Times New Roman"/>
          <w:sz w:val="24"/>
          <w:szCs w:val="24"/>
        </w:rPr>
        <w:t>determinant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under-five children in Ethiopia.   </w:t>
      </w:r>
    </w:p>
    <w:p w14:paraId="48882D82" w14:textId="2E00274E" w:rsidR="003C74FE" w:rsidRDefault="003C74FE" w:rsidP="003C74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Methods: </w:t>
      </w:r>
      <w:r>
        <w:rPr>
          <w:rFonts w:ascii="Times New Roman" w:hAnsi="Times New Roman" w:cs="Times New Roman"/>
          <w:sz w:val="24"/>
          <w:szCs w:val="24"/>
        </w:rPr>
        <w:t xml:space="preserve">Nationally representative demographic and health survey data were used for this study. A total of 5772 under-five children were included. Data were analyzed using R software.  Semi-parametric nested shared frailty survival analysis was employed to identify the determinant factors. Adjusted hazard ratio (AHR) with 95% Confidence interval (CI) was reported and log-likelihood was used for model comparison.  Statistical significance was declared as P-value &lt; 0.05.  </w:t>
      </w:r>
    </w:p>
    <w:p w14:paraId="2B46AC58" w14:textId="44440EFC" w:rsidR="003C74FE" w:rsidRDefault="003C74FE" w:rsidP="003C74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>The weighted incidence of under-five death before celebrating the first fifth year was 5.76% (95% CI: 5.17 – 6.40).  Female sex and under-five children live in urban areas were high probability of survival. After controlling cluster and region level dependency, multiple births (AHR =7.03,  95% CI: 4.40 - 11.24), breastfed within one hour after birth (AHR =0.41, 95% CI: 0.28 - 0.61),  preceding birth interval 18-23 months (AHR =1.62, 95% CI: 1.12 -2.36), and younger than 18 months (AHR  = 2.73, 95% CI: 1.93 -3.86), and  teenage pregnancy (AHR =1.70, 95% CI: 1.01 - 2.87)  were statistically significant determinants for under-five</w:t>
      </w:r>
      <w:r w:rsidR="00F75C9E">
        <w:rPr>
          <w:rFonts w:ascii="Times New Roman" w:hAnsi="Times New Roman" w:cs="Times New Roman"/>
          <w:sz w:val="24"/>
          <w:szCs w:val="24"/>
        </w:rPr>
        <w:t xml:space="preserve"> mortality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14E76D2" w14:textId="5759A14E" w:rsidR="003C74FE" w:rsidRDefault="003C74FE" w:rsidP="003C74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>Even though Ethiopia has a significant decline regarding under-five death, still a significant number of under-five children were dying. To curve and achieve the SDG targets regarding under-five mortality in Ethiopia, policymaker</w:t>
      </w:r>
      <w:r w:rsidR="00F75C9E">
        <w:rPr>
          <w:rFonts w:ascii="Times New Roman" w:hAnsi="Times New Roman" w:cs="Times New Roman"/>
          <w:sz w:val="24"/>
          <w:szCs w:val="24"/>
        </w:rPr>
        <w:t xml:space="preserve"> global stakeholders and</w:t>
      </w:r>
      <w:r>
        <w:rPr>
          <w:rFonts w:ascii="Times New Roman" w:hAnsi="Times New Roman" w:cs="Times New Roman"/>
          <w:sz w:val="24"/>
          <w:szCs w:val="24"/>
        </w:rPr>
        <w:t xml:space="preserve"> health planners should give prior attention to preventable factors for under-five mortality.   </w:t>
      </w:r>
    </w:p>
    <w:p w14:paraId="4A3141BC" w14:textId="77777777" w:rsidR="003C74FE" w:rsidRDefault="003C74FE" w:rsidP="003C74F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3B544" w14:textId="77777777" w:rsidR="003C74FE" w:rsidRDefault="003C74FE" w:rsidP="003C74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>Under-five, Nested Shared Frailty, Ethiopia</w:t>
      </w:r>
    </w:p>
    <w:p w14:paraId="0FF9448F" w14:textId="70D537D0" w:rsidR="000D7AE1" w:rsidRDefault="000D7AE1"/>
    <w:p w14:paraId="3ECB180B" w14:textId="47502C6C" w:rsidR="00B52352" w:rsidRDefault="00B52352"/>
    <w:p w14:paraId="69C4F902" w14:textId="4491B065" w:rsidR="00B52352" w:rsidRDefault="00B52352"/>
    <w:p w14:paraId="192839B4" w14:textId="77777777" w:rsidR="007F5F42" w:rsidRDefault="007F5F42" w:rsidP="007F5F42">
      <w:pPr>
        <w:pStyle w:val="Title"/>
        <w:spacing w:before="100" w:line="548" w:lineRule="exact"/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4E33ACFD" wp14:editId="2F805508">
            <wp:simplePos x="0" y="0"/>
            <wp:positionH relativeFrom="page">
              <wp:posOffset>6476284</wp:posOffset>
            </wp:positionH>
            <wp:positionV relativeFrom="paragraph">
              <wp:posOffset>-10493</wp:posOffset>
            </wp:positionV>
            <wp:extent cx="362813" cy="363029"/>
            <wp:effectExtent l="0" t="0" r="0" b="0"/>
            <wp:wrapNone/>
            <wp:docPr id="3" name="image2.png" descr="Application&#10;&#10;Description automatically generated with low confidenc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Application&#10;&#10;Description automatically generated with low confidence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13" cy="36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Determinants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under-five</w:t>
      </w:r>
      <w:r>
        <w:rPr>
          <w:spacing w:val="-5"/>
        </w:rPr>
        <w:t xml:space="preserve"> </w:t>
      </w:r>
      <w:r>
        <w:rPr>
          <w:spacing w:val="-2"/>
        </w:rPr>
        <w:t>mortality</w:t>
      </w:r>
    </w:p>
    <w:p w14:paraId="373A7F77" w14:textId="77777777" w:rsidR="007F5F42" w:rsidRDefault="007F5F42" w:rsidP="007F5F42">
      <w:pPr>
        <w:pStyle w:val="Title"/>
        <w:spacing w:line="216" w:lineRule="auto"/>
      </w:pPr>
      <w:r>
        <w:t>in Ethiopia using the recent 2019 Ethiopian demographic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survey</w:t>
      </w:r>
      <w:r>
        <w:rPr>
          <w:spacing w:val="-8"/>
        </w:rPr>
        <w:t xml:space="preserve"> </w:t>
      </w:r>
      <w:r>
        <w:t>data:</w:t>
      </w:r>
      <w:r>
        <w:rPr>
          <w:spacing w:val="-8"/>
        </w:rPr>
        <w:t xml:space="preserve"> </w:t>
      </w:r>
      <w:r>
        <w:t>nested shared frailty survival analysis</w:t>
      </w:r>
    </w:p>
    <w:p w14:paraId="5A38C03C" w14:textId="77777777" w:rsidR="007F5F42" w:rsidRDefault="007F5F42" w:rsidP="007F5F42">
      <w:pPr>
        <w:spacing w:before="168" w:line="256" w:lineRule="auto"/>
        <w:ind w:left="112" w:right="1401"/>
        <w:rPr>
          <w:rFonts w:ascii="Myriad Pro Light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1" locked="0" layoutInCell="1" allowOverlap="1" wp14:anchorId="694AD5B1" wp14:editId="76F4D392">
            <wp:simplePos x="0" y="0"/>
            <wp:positionH relativeFrom="page">
              <wp:posOffset>2244027</wp:posOffset>
            </wp:positionH>
            <wp:positionV relativeFrom="paragraph">
              <wp:posOffset>131477</wp:posOffset>
            </wp:positionV>
            <wp:extent cx="105854" cy="105841"/>
            <wp:effectExtent l="0" t="0" r="0" b="0"/>
            <wp:wrapNone/>
            <wp:docPr id="5" name="image3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54" cy="105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yriad Pro Light"/>
        </w:rPr>
        <w:t xml:space="preserve">Belete </w:t>
      </w:r>
      <w:proofErr w:type="spellStart"/>
      <w:r>
        <w:rPr>
          <w:rFonts w:ascii="Myriad Pro Light"/>
        </w:rPr>
        <w:t>Achamyelew</w:t>
      </w:r>
      <w:proofErr w:type="spellEnd"/>
      <w:r>
        <w:rPr>
          <w:rFonts w:ascii="Myriad Pro Light"/>
        </w:rPr>
        <w:t xml:space="preserve"> Ayele</w:t>
      </w:r>
      <w:r>
        <w:rPr>
          <w:rFonts w:ascii="Myriad Pro Light"/>
          <w:vertAlign w:val="superscript"/>
        </w:rPr>
        <w:t>1*</w:t>
      </w:r>
      <w:r>
        <w:rPr>
          <w:rFonts w:ascii="Myriad Pro Light"/>
          <w:spacing w:val="80"/>
          <w:w w:val="150"/>
        </w:rPr>
        <w:t xml:space="preserve"> </w:t>
      </w:r>
      <w:hyperlink r:id="rId9">
        <w:r>
          <w:rPr>
            <w:rFonts w:ascii="Myriad Pro Light"/>
          </w:rPr>
          <w:t>,</w:t>
        </w:r>
      </w:hyperlink>
      <w:r>
        <w:rPr>
          <w:rFonts w:ascii="Myriad Pro Light"/>
        </w:rPr>
        <w:t xml:space="preserve"> </w:t>
      </w:r>
      <w:proofErr w:type="spellStart"/>
      <w:r>
        <w:rPr>
          <w:rFonts w:ascii="Myriad Pro Light"/>
        </w:rPr>
        <w:t>Sofonyas</w:t>
      </w:r>
      <w:proofErr w:type="spellEnd"/>
      <w:r>
        <w:rPr>
          <w:rFonts w:ascii="Myriad Pro Light"/>
        </w:rPr>
        <w:t xml:space="preserve"> </w:t>
      </w:r>
      <w:proofErr w:type="spellStart"/>
      <w:r>
        <w:rPr>
          <w:rFonts w:ascii="Myriad Pro Light"/>
        </w:rPr>
        <w:t>Abebaw</w:t>
      </w:r>
      <w:proofErr w:type="spellEnd"/>
      <w:r>
        <w:rPr>
          <w:rFonts w:ascii="Myriad Pro Light"/>
          <w:spacing w:val="-10"/>
        </w:rPr>
        <w:t xml:space="preserve"> </w:t>
      </w:r>
      <w:r>
        <w:rPr>
          <w:rFonts w:ascii="Myriad Pro Light"/>
        </w:rPr>
        <w:t>Tiruneh</w:t>
      </w:r>
      <w:r>
        <w:rPr>
          <w:rFonts w:ascii="Myriad Pro Light"/>
          <w:vertAlign w:val="superscript"/>
        </w:rPr>
        <w:t>2</w:t>
      </w:r>
      <w:r>
        <w:rPr>
          <w:rFonts w:ascii="Myriad Pro Light"/>
        </w:rPr>
        <w:t xml:space="preserve">, </w:t>
      </w:r>
      <w:proofErr w:type="spellStart"/>
      <w:r>
        <w:rPr>
          <w:rFonts w:ascii="Myriad Pro Light"/>
        </w:rPr>
        <w:t>Melkalem</w:t>
      </w:r>
      <w:proofErr w:type="spellEnd"/>
      <w:r>
        <w:rPr>
          <w:rFonts w:ascii="Myriad Pro Light"/>
        </w:rPr>
        <w:t xml:space="preserve"> </w:t>
      </w:r>
      <w:proofErr w:type="spellStart"/>
      <w:r>
        <w:rPr>
          <w:rFonts w:ascii="Myriad Pro Light"/>
        </w:rPr>
        <w:t>Mamuye</w:t>
      </w:r>
      <w:proofErr w:type="spellEnd"/>
      <w:r>
        <w:rPr>
          <w:rFonts w:ascii="Myriad Pro Light"/>
        </w:rPr>
        <w:t xml:space="preserve"> Azanaw</w:t>
      </w:r>
      <w:r>
        <w:rPr>
          <w:rFonts w:ascii="Myriad Pro Light"/>
          <w:vertAlign w:val="superscript"/>
        </w:rPr>
        <w:t>2</w:t>
      </w:r>
      <w:r>
        <w:rPr>
          <w:rFonts w:ascii="Myriad Pro Light"/>
        </w:rPr>
        <w:t xml:space="preserve">, Habtamu </w:t>
      </w:r>
      <w:proofErr w:type="spellStart"/>
      <w:r>
        <w:rPr>
          <w:rFonts w:ascii="Myriad Pro Light"/>
        </w:rPr>
        <w:t>Shimels</w:t>
      </w:r>
      <w:proofErr w:type="spellEnd"/>
      <w:r>
        <w:rPr>
          <w:rFonts w:ascii="Myriad Pro Light"/>
        </w:rPr>
        <w:t xml:space="preserve"> Hailemeskel</w:t>
      </w:r>
      <w:r>
        <w:rPr>
          <w:rFonts w:ascii="Myriad Pro Light"/>
          <w:vertAlign w:val="superscript"/>
        </w:rPr>
        <w:t>3</w:t>
      </w:r>
      <w:r>
        <w:rPr>
          <w:rFonts w:ascii="Myriad Pro Light"/>
        </w:rPr>
        <w:t xml:space="preserve">, </w:t>
      </w:r>
      <w:proofErr w:type="spellStart"/>
      <w:r>
        <w:rPr>
          <w:rFonts w:ascii="Myriad Pro Light"/>
        </w:rPr>
        <w:t>Yonas</w:t>
      </w:r>
      <w:proofErr w:type="spellEnd"/>
      <w:r>
        <w:rPr>
          <w:rFonts w:ascii="Myriad Pro Light"/>
        </w:rPr>
        <w:t xml:space="preserve"> Akalu</w:t>
      </w:r>
      <w:r>
        <w:rPr>
          <w:rFonts w:ascii="Myriad Pro Light"/>
          <w:vertAlign w:val="superscript"/>
        </w:rPr>
        <w:t>4</w:t>
      </w:r>
      <w:r>
        <w:rPr>
          <w:rFonts w:ascii="Myriad Pro Light"/>
        </w:rPr>
        <w:t xml:space="preserve"> and </w:t>
      </w:r>
      <w:proofErr w:type="spellStart"/>
      <w:r>
        <w:rPr>
          <w:rFonts w:ascii="Myriad Pro Light"/>
        </w:rPr>
        <w:t>Asnakew</w:t>
      </w:r>
      <w:proofErr w:type="spellEnd"/>
      <w:r>
        <w:rPr>
          <w:rFonts w:ascii="Myriad Pro Light"/>
        </w:rPr>
        <w:t xml:space="preserve"> </w:t>
      </w:r>
      <w:proofErr w:type="spellStart"/>
      <w:r>
        <w:rPr>
          <w:rFonts w:ascii="Myriad Pro Light"/>
        </w:rPr>
        <w:t>Achaw</w:t>
      </w:r>
      <w:proofErr w:type="spellEnd"/>
      <w:r>
        <w:rPr>
          <w:rFonts w:ascii="Myriad Pro Light"/>
        </w:rPr>
        <w:t xml:space="preserve"> Ayele</w:t>
      </w:r>
      <w:r>
        <w:rPr>
          <w:rFonts w:ascii="Myriad Pro Light"/>
          <w:vertAlign w:val="superscript"/>
        </w:rPr>
        <w:t>5</w:t>
      </w:r>
    </w:p>
    <w:p w14:paraId="2428F766" w14:textId="019356C6" w:rsidR="00B52352" w:rsidRPr="007F5F42" w:rsidRDefault="007F5F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5F42">
        <w:rPr>
          <w:rFonts w:ascii="Times New Roman" w:hAnsi="Times New Roman" w:cs="Times New Roman"/>
          <w:b/>
          <w:bCs/>
          <w:sz w:val="24"/>
          <w:szCs w:val="24"/>
        </w:rPr>
        <w:t>Resent Publications</w:t>
      </w:r>
    </w:p>
    <w:sectPr w:rsidR="00B52352" w:rsidRPr="007F5F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FE"/>
    <w:rsid w:val="000D7AE1"/>
    <w:rsid w:val="003C74FE"/>
    <w:rsid w:val="005D3970"/>
    <w:rsid w:val="007F5F42"/>
    <w:rsid w:val="00954A36"/>
    <w:rsid w:val="00B52352"/>
    <w:rsid w:val="00E4515A"/>
    <w:rsid w:val="00F17A29"/>
    <w:rsid w:val="00F7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DE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F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4FE"/>
    <w:pPr>
      <w:keepNext/>
      <w:keepLines/>
      <w:tabs>
        <w:tab w:val="right" w:pos="9360"/>
      </w:tabs>
      <w:spacing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4FE"/>
    <w:rPr>
      <w:rFonts w:ascii="Times New Roman" w:eastAsiaTheme="majorEastAsia" w:hAnsi="Times New Roman" w:cs="Times New Roman"/>
      <w:b/>
      <w:bCs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rsid w:val="003C74FE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3C74FE"/>
    <w:pPr>
      <w:widowControl w:val="0"/>
      <w:autoSpaceDE w:val="0"/>
      <w:autoSpaceDN w:val="0"/>
      <w:spacing w:before="17" w:after="0" w:line="240" w:lineRule="auto"/>
      <w:ind w:left="112"/>
    </w:pPr>
    <w:rPr>
      <w:rFonts w:ascii="Myriad Pro" w:eastAsia="Myriad Pro" w:hAnsi="Myriad Pro" w:cs="Myriad Pro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C74FE"/>
    <w:rPr>
      <w:rFonts w:ascii="Myriad Pro" w:eastAsia="Myriad Pro" w:hAnsi="Myriad Pro" w:cs="Myriad Pro"/>
      <w:sz w:val="48"/>
      <w:szCs w:val="4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F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4FE"/>
    <w:pPr>
      <w:keepNext/>
      <w:keepLines/>
      <w:tabs>
        <w:tab w:val="right" w:pos="9360"/>
      </w:tabs>
      <w:spacing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4FE"/>
    <w:rPr>
      <w:rFonts w:ascii="Times New Roman" w:eastAsiaTheme="majorEastAsia" w:hAnsi="Times New Roman" w:cs="Times New Roman"/>
      <w:b/>
      <w:bCs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rsid w:val="003C74FE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3C74FE"/>
    <w:pPr>
      <w:widowControl w:val="0"/>
      <w:autoSpaceDE w:val="0"/>
      <w:autoSpaceDN w:val="0"/>
      <w:spacing w:before="17" w:after="0" w:line="240" w:lineRule="auto"/>
      <w:ind w:left="112"/>
    </w:pPr>
    <w:rPr>
      <w:rFonts w:ascii="Myriad Pro" w:eastAsia="Myriad Pro" w:hAnsi="Myriad Pro" w:cs="Myriad Pro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C74FE"/>
    <w:rPr>
      <w:rFonts w:ascii="Myriad Pro" w:eastAsia="Myriad Pro" w:hAnsi="Myriad Pro" w:cs="Myriad Pro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orcid.org/0000-0002-2128-216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crossmark.crossref.org/dialog/?doi=10.1186/s13690-022-00896-1&amp;domain=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rcid.org/0000-0002-2128-2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Belete Achamyelew Ayele</dc:creator>
  <cp:lastModifiedBy>bigdata-2021</cp:lastModifiedBy>
  <cp:revision>2</cp:revision>
  <dcterms:created xsi:type="dcterms:W3CDTF">2022-10-18T12:46:00Z</dcterms:created>
  <dcterms:modified xsi:type="dcterms:W3CDTF">2022-10-18T12:46:00Z</dcterms:modified>
</cp:coreProperties>
</file>