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6D2FF" w14:textId="77777777" w:rsidR="00AE3E37" w:rsidRDefault="00423A0F" w:rsidP="000534A1">
      <w:pPr>
        <w:pStyle w:val="Heading1"/>
        <w:spacing w:before="170"/>
        <w:ind w:left="0"/>
        <w:jc w:val="both"/>
      </w:pPr>
      <w:r>
        <w:rPr>
          <w:color w:val="337AB7"/>
        </w:rPr>
        <w:t>Esthetics and cosmetics in prosthodontics</w:t>
      </w:r>
    </w:p>
    <w:p w14:paraId="6DF9639D" w14:textId="77777777" w:rsidR="00AE3E37" w:rsidRDefault="00423A0F" w:rsidP="00423A0F">
      <w:pPr>
        <w:pStyle w:val="BodyText"/>
        <w:spacing w:before="73" w:line="198" w:lineRule="exact"/>
        <w:ind w:left="100" w:right="5987"/>
        <w:rPr>
          <w:rFonts w:ascii="Arial"/>
        </w:rPr>
      </w:pPr>
      <w:r>
        <w:rPr>
          <w:rFonts w:ascii="Arial"/>
        </w:rPr>
        <w:t xml:space="preserve">Eman Helal </w:t>
      </w:r>
    </w:p>
    <w:p w14:paraId="136F7C4B" w14:textId="77777777" w:rsidR="00423A0F" w:rsidRDefault="009A732C" w:rsidP="00423A0F">
      <w:pPr>
        <w:pStyle w:val="BodyText"/>
        <w:spacing w:before="73" w:line="198" w:lineRule="exact"/>
        <w:ind w:left="100" w:right="5987"/>
        <w:rPr>
          <w:rFonts w:ascii="Arial"/>
          <w:sz w:val="20"/>
        </w:rPr>
      </w:pPr>
      <w:r>
        <w:rPr>
          <w:rFonts w:ascii="Arial"/>
        </w:rPr>
        <w:t>MSc, PhD</w:t>
      </w:r>
      <w:r w:rsidR="00423A0F">
        <w:rPr>
          <w:rFonts w:ascii="Arial"/>
        </w:rPr>
        <w:t xml:space="preserve"> </w:t>
      </w:r>
      <w:r>
        <w:rPr>
          <w:rFonts w:ascii="Arial"/>
        </w:rPr>
        <w:t>prosthodontics, National</w:t>
      </w:r>
      <w:r w:rsidR="00423A0F">
        <w:rPr>
          <w:rFonts w:ascii="Arial"/>
        </w:rPr>
        <w:t xml:space="preserve"> Research Centre</w:t>
      </w:r>
    </w:p>
    <w:p w14:paraId="36FFFF45"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5F0D27C" w14:textId="77777777" w:rsidR="00AE3E37" w:rsidRDefault="00A9710C" w:rsidP="00423A0F">
      <w:pPr>
        <w:pStyle w:val="Heading3"/>
        <w:spacing w:before="147"/>
        <w:jc w:val="both"/>
      </w:pPr>
      <w:r>
        <w:rPr>
          <w:color w:val="BF5A14"/>
        </w:rPr>
        <w:t>Abstract</w:t>
      </w:r>
      <w:r w:rsidR="00404E5B">
        <w:rPr>
          <w:color w:val="BF5A14"/>
        </w:rPr>
        <w:t xml:space="preserve"> </w:t>
      </w:r>
    </w:p>
    <w:p w14:paraId="52C79F69" w14:textId="77777777" w:rsidR="001F0689" w:rsidRPr="001F0689" w:rsidRDefault="001F0689" w:rsidP="001F0689">
      <w:pPr>
        <w:pStyle w:val="Heading3"/>
        <w:spacing w:before="74"/>
        <w:rPr>
          <w:b w:val="0"/>
          <w:bCs w:val="0"/>
          <w:sz w:val="18"/>
          <w:szCs w:val="18"/>
          <w:lang w:val="en-GB"/>
        </w:rPr>
      </w:pPr>
      <w:r w:rsidRPr="001F0689">
        <w:rPr>
          <w:b w:val="0"/>
          <w:bCs w:val="0"/>
          <w:sz w:val="18"/>
          <w:szCs w:val="18"/>
          <w:lang w:val="en-GB"/>
        </w:rPr>
        <w:t xml:space="preserve">              Our everyday lives are full of esthetic</w:t>
      </w:r>
      <w:r w:rsidRPr="001F0689">
        <w:rPr>
          <w:b w:val="0"/>
          <w:bCs w:val="0"/>
          <w:sz w:val="18"/>
          <w:szCs w:val="18"/>
          <w:rtl/>
          <w:lang w:bidi="ar-EG"/>
        </w:rPr>
        <w:t xml:space="preserve"> </w:t>
      </w:r>
      <w:r w:rsidRPr="001F0689">
        <w:rPr>
          <w:b w:val="0"/>
          <w:bCs w:val="0"/>
          <w:sz w:val="18"/>
          <w:szCs w:val="18"/>
          <w:lang w:val="en-GB"/>
        </w:rPr>
        <w:t>experiences. Uncountable decisions depend on the esthetic appeal of the available options. The Oxford English Dictionary</w:t>
      </w:r>
      <w:r w:rsidRPr="001F0689">
        <w:rPr>
          <w:b w:val="0"/>
          <w:bCs w:val="0"/>
          <w:sz w:val="18"/>
          <w:szCs w:val="18"/>
          <w:rtl/>
          <w:lang w:bidi="ar-EG"/>
        </w:rPr>
        <w:t xml:space="preserve"> </w:t>
      </w:r>
      <w:r w:rsidRPr="001F0689">
        <w:rPr>
          <w:b w:val="0"/>
          <w:bCs w:val="0"/>
          <w:sz w:val="18"/>
          <w:szCs w:val="18"/>
          <w:lang w:val="en-GB"/>
        </w:rPr>
        <w:t>(OED) defines ‘esthetic’ as “concerned</w:t>
      </w:r>
      <w:r w:rsidRPr="001F0689">
        <w:rPr>
          <w:b w:val="0"/>
          <w:bCs w:val="0"/>
          <w:sz w:val="18"/>
          <w:szCs w:val="18"/>
          <w:rtl/>
          <w:lang w:bidi="ar-EG"/>
        </w:rPr>
        <w:t xml:space="preserve"> </w:t>
      </w:r>
      <w:r w:rsidRPr="001F0689">
        <w:rPr>
          <w:b w:val="0"/>
          <w:bCs w:val="0"/>
          <w:sz w:val="18"/>
          <w:szCs w:val="18"/>
          <w:lang w:val="en-GB"/>
        </w:rPr>
        <w:t>with beauty or the appreciation of</w:t>
      </w:r>
      <w:r w:rsidRPr="001F0689">
        <w:rPr>
          <w:b w:val="0"/>
          <w:bCs w:val="0"/>
          <w:sz w:val="18"/>
          <w:szCs w:val="18"/>
          <w:rtl/>
          <w:lang w:bidi="ar-EG"/>
        </w:rPr>
        <w:t xml:space="preserve"> </w:t>
      </w:r>
      <w:r w:rsidRPr="001F0689">
        <w:rPr>
          <w:b w:val="0"/>
          <w:bCs w:val="0"/>
          <w:sz w:val="18"/>
          <w:szCs w:val="18"/>
          <w:lang w:val="en-GB"/>
        </w:rPr>
        <w:t>beauty”, Dental esthetics is the application of the principles of esthetics to the natural or artificial teeth and restorations .Nowadays,</w:t>
      </w:r>
      <w:r w:rsidRPr="001F0689">
        <w:rPr>
          <w:b w:val="0"/>
          <w:bCs w:val="0"/>
          <w:sz w:val="18"/>
          <w:szCs w:val="18"/>
          <w:rtl/>
          <w:lang w:bidi="ar-EG"/>
        </w:rPr>
        <w:t xml:space="preserve"> </w:t>
      </w:r>
      <w:r w:rsidRPr="001F0689">
        <w:rPr>
          <w:b w:val="0"/>
          <w:bCs w:val="0"/>
          <w:sz w:val="18"/>
          <w:szCs w:val="18"/>
          <w:lang w:val="en-GB"/>
        </w:rPr>
        <w:t>owing to patients’ increasing esthetic demands and expectations,</w:t>
      </w:r>
      <w:r w:rsidRPr="001F0689">
        <w:rPr>
          <w:b w:val="0"/>
          <w:bCs w:val="0"/>
          <w:sz w:val="18"/>
          <w:szCs w:val="18"/>
          <w:rtl/>
          <w:lang w:bidi="ar-EG"/>
        </w:rPr>
        <w:t xml:space="preserve"> </w:t>
      </w:r>
      <w:r w:rsidRPr="001F0689">
        <w:rPr>
          <w:b w:val="0"/>
          <w:bCs w:val="0"/>
          <w:sz w:val="18"/>
          <w:szCs w:val="18"/>
          <w:lang w:val="en-GB"/>
        </w:rPr>
        <w:t>the natural appearance of the prosthesis has become an important outcome measure for defining the success of restoration therapy.</w:t>
      </w:r>
    </w:p>
    <w:p w14:paraId="4F3B5A1B" w14:textId="77777777" w:rsidR="001F0689" w:rsidRPr="001F0689" w:rsidRDefault="001F0689" w:rsidP="001F0689">
      <w:pPr>
        <w:pStyle w:val="Heading3"/>
        <w:spacing w:before="74"/>
        <w:rPr>
          <w:b w:val="0"/>
          <w:bCs w:val="0"/>
          <w:sz w:val="18"/>
          <w:szCs w:val="18"/>
          <w:lang w:val="en-GB"/>
        </w:rPr>
      </w:pPr>
      <w:r w:rsidRPr="001F0689">
        <w:rPr>
          <w:b w:val="0"/>
          <w:bCs w:val="0"/>
          <w:sz w:val="18"/>
          <w:szCs w:val="18"/>
          <w:lang w:val="en-GB"/>
        </w:rPr>
        <w:t>The difference between Cosmetic and Esthetic prosthodontics is that Cosmetic prosthodontics implies treatment that is done strictly for visual appearance that may not be considered essential such as Veneers, Cosmetic crowns as well as teeth whitening .On the other hand, Esthetic prosthodontics uses an approach that helps to solve more complicated  problems such as missing teeth or missing part of maxillary or mandibular jaws  that both fixes the problem from a functional standpoint, but also helps the patient to look and feel better it also requires harmony and balance. In other words, esthetic prosthodontics is a more broad approach than cosmetic prosthodontics.</w:t>
      </w:r>
    </w:p>
    <w:p w14:paraId="32FCAB48" w14:textId="77777777" w:rsidR="001F0689" w:rsidRPr="001F0689" w:rsidRDefault="001F0689" w:rsidP="001F0689">
      <w:pPr>
        <w:pStyle w:val="Heading3"/>
        <w:spacing w:before="74"/>
        <w:rPr>
          <w:sz w:val="18"/>
          <w:szCs w:val="18"/>
          <w:lang w:val="en-GB"/>
        </w:rPr>
      </w:pPr>
      <w:r w:rsidRPr="001F0689">
        <w:rPr>
          <w:b w:val="0"/>
          <w:bCs w:val="0"/>
          <w:sz w:val="18"/>
          <w:szCs w:val="18"/>
          <w:lang w:val="en-GB"/>
        </w:rPr>
        <w:t xml:space="preserve">The demand for cosmetic dental prosthetics has grown considerably during the last few years. Rush-to-market products, media-driven ideas, as well as dentists keen to please, have formed a challenge for the dentist to calculate benefits /risks ratio for every single treatment modality. For this reason this presentation   investigated the traditional and recent techniques and materials in different branches of prosthodontics that helps to give the patient the most </w:t>
      </w:r>
      <w:proofErr w:type="spellStart"/>
      <w:r w:rsidRPr="001F0689">
        <w:rPr>
          <w:b w:val="0"/>
          <w:bCs w:val="0"/>
          <w:sz w:val="18"/>
          <w:szCs w:val="18"/>
          <w:lang w:val="en-GB"/>
        </w:rPr>
        <w:t>esthetically</w:t>
      </w:r>
      <w:proofErr w:type="spellEnd"/>
      <w:r w:rsidRPr="001F0689">
        <w:rPr>
          <w:b w:val="0"/>
          <w:bCs w:val="0"/>
          <w:sz w:val="18"/>
          <w:szCs w:val="18"/>
          <w:lang w:val="en-GB"/>
        </w:rPr>
        <w:t xml:space="preserve"> satisfying dental experience</w:t>
      </w:r>
      <w:r w:rsidRPr="001F0689">
        <w:rPr>
          <w:sz w:val="18"/>
          <w:szCs w:val="18"/>
          <w:lang w:val="en-GB"/>
        </w:rPr>
        <w:t>.</w:t>
      </w:r>
    </w:p>
    <w:p w14:paraId="2243AB18" w14:textId="77777777" w:rsidR="00AE3E37" w:rsidRDefault="00A9710C">
      <w:pPr>
        <w:pStyle w:val="Heading3"/>
        <w:spacing w:before="74"/>
      </w:pPr>
      <w:r>
        <w:rPr>
          <w:color w:val="BF5A14"/>
        </w:rPr>
        <w:t>Image</w:t>
      </w:r>
    </w:p>
    <w:p w14:paraId="19078B91" w14:textId="77777777" w:rsidR="00AE3E37" w:rsidRDefault="001F0689" w:rsidP="001F0689">
      <w:pPr>
        <w:pStyle w:val="BodyText"/>
        <w:spacing w:before="2"/>
        <w:jc w:val="center"/>
        <w:rPr>
          <w:rFonts w:ascii="Arial"/>
          <w:b/>
          <w:sz w:val="16"/>
        </w:rPr>
      </w:pPr>
      <w:r w:rsidRPr="001F0689">
        <w:rPr>
          <w:noProof/>
          <w:lang w:val="en-GB" w:eastAsia="en-GB"/>
        </w:rPr>
        <w:drawing>
          <wp:inline distT="0" distB="0" distL="0" distR="0" wp14:anchorId="121253D4" wp14:editId="6426B931">
            <wp:extent cx="3162300" cy="145699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t="38560"/>
                    <a:stretch/>
                  </pic:blipFill>
                  <pic:spPr bwMode="auto">
                    <a:xfrm>
                      <a:off x="0" y="0"/>
                      <a:ext cx="3165475" cy="1458459"/>
                    </a:xfrm>
                    <a:prstGeom prst="rect">
                      <a:avLst/>
                    </a:prstGeom>
                    <a:ln>
                      <a:noFill/>
                    </a:ln>
                    <a:extLst>
                      <a:ext uri="{53640926-AAD7-44D8-BBD7-CCE9431645EC}">
                        <a14:shadowObscured xmlns:a14="http://schemas.microsoft.com/office/drawing/2010/main"/>
                      </a:ext>
                    </a:extLst>
                  </pic:spPr>
                </pic:pic>
              </a:graphicData>
            </a:graphic>
          </wp:inline>
        </w:drawing>
      </w:r>
    </w:p>
    <w:p w14:paraId="5181F6F7" w14:textId="77777777" w:rsidR="005973B9" w:rsidRDefault="005973B9" w:rsidP="00423A0F">
      <w:pPr>
        <w:spacing w:line="204" w:lineRule="exact"/>
        <w:rPr>
          <w:rFonts w:ascii="Arial"/>
          <w:b/>
          <w:sz w:val="20"/>
        </w:rPr>
      </w:pPr>
      <w:r>
        <w:rPr>
          <w:rFonts w:ascii="Arial"/>
          <w:b/>
          <w:color w:val="BF5A14"/>
          <w:sz w:val="20"/>
        </w:rPr>
        <w:br/>
      </w:r>
    </w:p>
    <w:p w14:paraId="01EC51E7" w14:textId="77777777" w:rsidR="001F0689" w:rsidRPr="001F0689" w:rsidRDefault="001F0689" w:rsidP="001F0689">
      <w:pPr>
        <w:tabs>
          <w:tab w:val="left" w:pos="384"/>
        </w:tabs>
        <w:ind w:right="117"/>
        <w:rPr>
          <w:rFonts w:ascii="Calibri" w:eastAsia="Calibri" w:hAnsi="Calibri" w:cs="Calibri"/>
          <w:sz w:val="18"/>
          <w:lang w:val="en-GB"/>
        </w:rPr>
      </w:pPr>
    </w:p>
    <w:p w14:paraId="620EBB2C" w14:textId="77777777" w:rsidR="001F0689" w:rsidRPr="00423A0F" w:rsidRDefault="00423A0F" w:rsidP="00423A0F">
      <w:pPr>
        <w:pStyle w:val="Heading3"/>
        <w:spacing w:before="74"/>
        <w:rPr>
          <w:color w:val="BF5A14"/>
        </w:rPr>
      </w:pPr>
      <w:r w:rsidRPr="00423A0F">
        <w:rPr>
          <w:color w:val="BF5A14"/>
        </w:rPr>
        <w:t>Recent publications:</w:t>
      </w:r>
    </w:p>
    <w:p w14:paraId="6A2F5FED" w14:textId="77777777" w:rsidR="00423A0F" w:rsidRPr="00A8429F" w:rsidRDefault="00423A0F" w:rsidP="00A8429F">
      <w:pPr>
        <w:spacing w:line="200" w:lineRule="exact"/>
        <w:jc w:val="both"/>
        <w:rPr>
          <w:rFonts w:ascii="Calibri" w:eastAsia="Calibri" w:hAnsi="Calibri" w:cs="Calibri"/>
          <w:i/>
          <w:iCs/>
          <w:sz w:val="18"/>
          <w:lang w:val="en-GB"/>
        </w:rPr>
      </w:pPr>
      <w:r w:rsidRPr="00423A0F">
        <w:rPr>
          <w:rFonts w:ascii="Calibri" w:eastAsia="Calibri" w:hAnsi="Calibri" w:cs="Calibri"/>
          <w:b/>
          <w:bCs/>
          <w:i/>
          <w:iCs/>
          <w:sz w:val="18"/>
          <w:lang w:val="en-GB"/>
        </w:rPr>
        <w:t>1-Prosthetic and biological complications of implant-retained fixed versus removable telescopic overdentures: randomized controlled clinical trial</w:t>
      </w:r>
      <w:r w:rsidRPr="00423A0F">
        <w:rPr>
          <w:rFonts w:ascii="Calibri" w:eastAsia="Calibri" w:hAnsi="Calibri" w:cs="Calibri"/>
          <w:i/>
          <w:iCs/>
          <w:sz w:val="18"/>
        </w:rPr>
        <w:t xml:space="preserve">. </w:t>
      </w:r>
      <w:r w:rsidRPr="00423A0F">
        <w:rPr>
          <w:rFonts w:ascii="Calibri" w:eastAsia="Calibri" w:hAnsi="Calibri" w:cs="Calibri"/>
          <w:i/>
          <w:iCs/>
          <w:sz w:val="18"/>
          <w:lang w:val="en-GB"/>
        </w:rPr>
        <w:t>.</w:t>
      </w:r>
      <w:r w:rsidRPr="00423A0F">
        <w:rPr>
          <w:rFonts w:ascii="Calibri" w:eastAsia="Calibri" w:hAnsi="Calibri" w:cs="Calibri" w:hint="cs"/>
          <w:i/>
          <w:iCs/>
          <w:sz w:val="18"/>
          <w:rtl/>
          <w:lang w:val="en-GB" w:bidi="ar-EG"/>
        </w:rPr>
        <w:t xml:space="preserve"> </w:t>
      </w:r>
    </w:p>
    <w:p w14:paraId="367FE8E1" w14:textId="77777777" w:rsidR="00423A0F" w:rsidRPr="00423A0F" w:rsidRDefault="00423A0F" w:rsidP="00423A0F">
      <w:pPr>
        <w:spacing w:line="200" w:lineRule="exact"/>
        <w:jc w:val="both"/>
        <w:rPr>
          <w:rFonts w:ascii="Calibri" w:eastAsia="Calibri" w:hAnsi="Calibri" w:cs="Calibri"/>
          <w:i/>
          <w:iCs/>
          <w:sz w:val="18"/>
          <w:lang w:val="en-GB"/>
        </w:rPr>
      </w:pPr>
      <w:r w:rsidRPr="00423A0F">
        <w:rPr>
          <w:rFonts w:ascii="Calibri" w:eastAsia="Calibri" w:hAnsi="Calibri" w:cs="Calibri"/>
          <w:b/>
          <w:bCs/>
          <w:i/>
          <w:iCs/>
          <w:sz w:val="18"/>
        </w:rPr>
        <w:t>2- Comparative study of maxillary denture-base retention between CAD/CAM (3D printed) and conventional fabrication techniques: a randomized clinical study</w:t>
      </w:r>
      <w:r w:rsidRPr="00423A0F">
        <w:rPr>
          <w:rFonts w:ascii="Calibri" w:eastAsia="Calibri" w:hAnsi="Calibri" w:cs="Calibri" w:hint="cs"/>
          <w:i/>
          <w:iCs/>
          <w:sz w:val="18"/>
          <w:rtl/>
          <w:lang w:val="en-GB" w:bidi="ar-EG"/>
        </w:rPr>
        <w:t>.</w:t>
      </w:r>
    </w:p>
    <w:p w14:paraId="6415DB26" w14:textId="77777777" w:rsidR="00423A0F" w:rsidRPr="00423A0F" w:rsidRDefault="00423A0F" w:rsidP="00423A0F">
      <w:pPr>
        <w:spacing w:line="200" w:lineRule="exact"/>
        <w:jc w:val="both"/>
        <w:rPr>
          <w:rFonts w:ascii="Calibri" w:eastAsia="Calibri" w:hAnsi="Calibri" w:cs="Calibri"/>
          <w:i/>
          <w:iCs/>
          <w:sz w:val="18"/>
          <w:rtl/>
          <w:lang w:val="en-GB" w:bidi="ar-EG"/>
        </w:rPr>
      </w:pPr>
    </w:p>
    <w:p w14:paraId="358531B9" w14:textId="77777777" w:rsidR="00423A0F" w:rsidRPr="00423A0F" w:rsidRDefault="00423A0F" w:rsidP="00423A0F">
      <w:pPr>
        <w:spacing w:line="200" w:lineRule="exact"/>
        <w:jc w:val="both"/>
        <w:rPr>
          <w:rFonts w:ascii="Calibri" w:eastAsia="Calibri" w:hAnsi="Calibri" w:cs="Calibri"/>
          <w:i/>
          <w:iCs/>
          <w:sz w:val="18"/>
          <w:lang w:val="en-GB"/>
        </w:rPr>
      </w:pPr>
      <w:r w:rsidRPr="00423A0F">
        <w:rPr>
          <w:rFonts w:ascii="Calibri" w:eastAsia="Calibri" w:hAnsi="Calibri" w:cs="Calibri"/>
          <w:i/>
          <w:iCs/>
          <w:sz w:val="18"/>
          <w:lang w:val="en-GB"/>
        </w:rPr>
        <w:t xml:space="preserve">Shady M. EL Naggar, Eman </w:t>
      </w:r>
      <w:proofErr w:type="spellStart"/>
      <w:r w:rsidRPr="00423A0F">
        <w:rPr>
          <w:rFonts w:ascii="Calibri" w:eastAsia="Calibri" w:hAnsi="Calibri" w:cs="Calibri"/>
          <w:i/>
          <w:iCs/>
          <w:sz w:val="18"/>
          <w:lang w:val="en-GB"/>
        </w:rPr>
        <w:t>Helal</w:t>
      </w:r>
      <w:proofErr w:type="spellEnd"/>
      <w:r w:rsidRPr="00423A0F">
        <w:rPr>
          <w:rFonts w:ascii="Calibri" w:eastAsia="Calibri" w:hAnsi="Calibri" w:cs="Calibri"/>
          <w:i/>
          <w:iCs/>
          <w:sz w:val="18"/>
          <w:lang w:val="en-GB"/>
        </w:rPr>
        <w:t xml:space="preserve">, Mai F.F. Khalil, Ahmed M. </w:t>
      </w:r>
      <w:proofErr w:type="spellStart"/>
      <w:r w:rsidRPr="00423A0F">
        <w:rPr>
          <w:rFonts w:ascii="Calibri" w:eastAsia="Calibri" w:hAnsi="Calibri" w:cs="Calibri"/>
          <w:i/>
          <w:iCs/>
          <w:sz w:val="18"/>
          <w:lang w:val="en-GB"/>
        </w:rPr>
        <w:t>Esmat</w:t>
      </w:r>
      <w:proofErr w:type="spellEnd"/>
      <w:r w:rsidRPr="00423A0F">
        <w:rPr>
          <w:rFonts w:ascii="Calibri" w:eastAsia="Calibri" w:hAnsi="Calibri" w:cs="Calibri"/>
          <w:i/>
          <w:iCs/>
          <w:sz w:val="18"/>
          <w:lang w:val="en-GB"/>
        </w:rPr>
        <w:t xml:space="preserve"> El-</w:t>
      </w:r>
      <w:proofErr w:type="spellStart"/>
      <w:r w:rsidRPr="00423A0F">
        <w:rPr>
          <w:rFonts w:ascii="Calibri" w:eastAsia="Calibri" w:hAnsi="Calibri" w:cs="Calibri"/>
          <w:i/>
          <w:iCs/>
          <w:sz w:val="18"/>
          <w:lang w:val="en-GB"/>
        </w:rPr>
        <w:t>Sisy</w:t>
      </w:r>
      <w:proofErr w:type="spellEnd"/>
      <w:r w:rsidRPr="00423A0F">
        <w:rPr>
          <w:rFonts w:ascii="Calibri" w:eastAsia="Calibri" w:hAnsi="Calibri" w:cs="Calibri"/>
          <w:i/>
          <w:iCs/>
          <w:sz w:val="18"/>
          <w:lang w:val="en-GB"/>
        </w:rPr>
        <w:t>, Ayman Gouda Journal of The Arab Society for Medical Research 2022, 17:46–51</w:t>
      </w:r>
    </w:p>
    <w:p w14:paraId="51D155C8" w14:textId="77777777" w:rsidR="00423A0F" w:rsidRPr="00423A0F" w:rsidRDefault="00423A0F" w:rsidP="00423A0F">
      <w:pPr>
        <w:spacing w:line="200" w:lineRule="exact"/>
        <w:jc w:val="both"/>
        <w:rPr>
          <w:rFonts w:ascii="Calibri" w:eastAsia="Calibri" w:hAnsi="Calibri" w:cs="Calibri"/>
          <w:i/>
          <w:iCs/>
          <w:sz w:val="18"/>
          <w:lang w:val="en-GB"/>
        </w:rPr>
      </w:pPr>
    </w:p>
    <w:p w14:paraId="66D4AFBF" w14:textId="77777777" w:rsidR="00423A0F" w:rsidRPr="00423A0F" w:rsidRDefault="00423A0F" w:rsidP="00423A0F">
      <w:pPr>
        <w:spacing w:line="200" w:lineRule="exact"/>
        <w:jc w:val="both"/>
        <w:rPr>
          <w:rFonts w:ascii="Calibri" w:eastAsia="Calibri" w:hAnsi="Calibri" w:cs="Calibri"/>
          <w:i/>
          <w:iCs/>
          <w:sz w:val="18"/>
          <w:rtl/>
          <w:lang w:val="en-GB" w:bidi="ar-EG"/>
        </w:rPr>
      </w:pPr>
      <w:r w:rsidRPr="00423A0F">
        <w:rPr>
          <w:rFonts w:ascii="Calibri" w:eastAsia="Calibri" w:hAnsi="Calibri" w:cs="Calibri"/>
          <w:b/>
          <w:bCs/>
          <w:i/>
          <w:iCs/>
          <w:sz w:val="18"/>
        </w:rPr>
        <w:t>3-Precision and accuracy of digital smile analysis in removable</w:t>
      </w:r>
      <w:r w:rsidRPr="00423A0F">
        <w:rPr>
          <w:rFonts w:ascii="Calibri" w:eastAsia="Calibri" w:hAnsi="Calibri" w:cs="Calibri" w:hint="cs"/>
          <w:b/>
          <w:bCs/>
          <w:i/>
          <w:iCs/>
          <w:sz w:val="18"/>
          <w:rtl/>
          <w:lang w:val="en-GB" w:bidi="ar-EG"/>
        </w:rPr>
        <w:t xml:space="preserve"> </w:t>
      </w:r>
      <w:r w:rsidRPr="00423A0F">
        <w:rPr>
          <w:rFonts w:ascii="Calibri" w:eastAsia="Calibri" w:hAnsi="Calibri" w:cs="Calibri"/>
          <w:b/>
          <w:bCs/>
          <w:i/>
          <w:iCs/>
          <w:sz w:val="18"/>
        </w:rPr>
        <w:t>complete denture .</w:t>
      </w:r>
      <w:r w:rsidRPr="00423A0F">
        <w:rPr>
          <w:rFonts w:ascii="Calibri" w:eastAsia="Calibri" w:hAnsi="Calibri" w:cs="Calibri"/>
          <w:i/>
          <w:iCs/>
          <w:sz w:val="18"/>
        </w:rPr>
        <w:t xml:space="preserve"> </w:t>
      </w:r>
    </w:p>
    <w:p w14:paraId="08672747" w14:textId="77777777" w:rsidR="00423A0F" w:rsidRPr="00423A0F" w:rsidRDefault="00423A0F" w:rsidP="00423A0F">
      <w:pPr>
        <w:spacing w:line="200" w:lineRule="exact"/>
        <w:jc w:val="both"/>
        <w:rPr>
          <w:rFonts w:ascii="Calibri" w:eastAsia="Calibri" w:hAnsi="Calibri" w:cs="Calibri"/>
          <w:i/>
          <w:iCs/>
          <w:sz w:val="18"/>
        </w:rPr>
      </w:pPr>
      <w:r w:rsidRPr="00423A0F">
        <w:rPr>
          <w:rFonts w:ascii="Calibri" w:eastAsia="Calibri" w:hAnsi="Calibri" w:cs="Calibri"/>
          <w:i/>
          <w:iCs/>
          <w:sz w:val="18"/>
        </w:rPr>
        <w:t xml:space="preserve"> Shady M. EL Naggar, Eman Helal, Mai F.F. Khalil, Ahmed </w:t>
      </w:r>
      <w:proofErr w:type="spellStart"/>
      <w:r w:rsidRPr="00423A0F">
        <w:rPr>
          <w:rFonts w:ascii="Calibri" w:eastAsia="Calibri" w:hAnsi="Calibri" w:cs="Calibri"/>
          <w:i/>
          <w:iCs/>
          <w:sz w:val="18"/>
        </w:rPr>
        <w:t>M.Esmat</w:t>
      </w:r>
      <w:proofErr w:type="spellEnd"/>
      <w:r w:rsidRPr="00423A0F">
        <w:rPr>
          <w:rFonts w:ascii="Calibri" w:eastAsia="Calibri" w:hAnsi="Calibri" w:cs="Calibri"/>
          <w:i/>
          <w:iCs/>
          <w:sz w:val="18"/>
        </w:rPr>
        <w:t xml:space="preserve"> .</w:t>
      </w:r>
    </w:p>
    <w:p w14:paraId="785A900D" w14:textId="77777777" w:rsidR="00423A0F" w:rsidRPr="00423A0F" w:rsidRDefault="00423A0F" w:rsidP="00423A0F">
      <w:pPr>
        <w:spacing w:line="200" w:lineRule="exact"/>
        <w:jc w:val="both"/>
        <w:rPr>
          <w:rFonts w:ascii="Calibri" w:eastAsia="Calibri" w:hAnsi="Calibri" w:cs="Calibri"/>
          <w:i/>
          <w:iCs/>
          <w:sz w:val="18"/>
          <w:lang w:val="en-GB"/>
        </w:rPr>
      </w:pPr>
      <w:r w:rsidRPr="00423A0F">
        <w:rPr>
          <w:rFonts w:ascii="Calibri" w:eastAsia="Calibri" w:hAnsi="Calibri" w:cs="Calibri"/>
          <w:i/>
          <w:iCs/>
          <w:sz w:val="18"/>
        </w:rPr>
        <w:t xml:space="preserve"> </w:t>
      </w:r>
      <w:r w:rsidRPr="00423A0F">
        <w:rPr>
          <w:rFonts w:ascii="Calibri" w:eastAsia="Calibri" w:hAnsi="Calibri" w:cs="Calibri"/>
          <w:i/>
          <w:iCs/>
          <w:sz w:val="18"/>
          <w:lang w:val="en-GB"/>
        </w:rPr>
        <w:t>Journal of The Arab Society for Medical Research 2022, 17:52–58</w:t>
      </w:r>
    </w:p>
    <w:p w14:paraId="45554AF1" w14:textId="77777777" w:rsidR="00423A0F" w:rsidRPr="00423A0F" w:rsidRDefault="00423A0F" w:rsidP="00423A0F">
      <w:pPr>
        <w:spacing w:line="200" w:lineRule="exact"/>
        <w:jc w:val="both"/>
        <w:rPr>
          <w:rFonts w:ascii="Calibri" w:eastAsia="Calibri" w:hAnsi="Calibri" w:cs="Calibri"/>
          <w:i/>
          <w:iCs/>
          <w:sz w:val="18"/>
        </w:rPr>
      </w:pPr>
    </w:p>
    <w:p w14:paraId="7428E214" w14:textId="77777777" w:rsidR="00423A0F" w:rsidRPr="00423A0F" w:rsidRDefault="00423A0F" w:rsidP="00423A0F">
      <w:pPr>
        <w:spacing w:line="200" w:lineRule="exact"/>
        <w:jc w:val="both"/>
        <w:rPr>
          <w:rFonts w:ascii="Calibri" w:eastAsia="Calibri" w:hAnsi="Calibri" w:cs="Calibri"/>
          <w:b/>
          <w:bCs/>
          <w:i/>
          <w:iCs/>
          <w:sz w:val="18"/>
        </w:rPr>
      </w:pPr>
    </w:p>
    <w:p w14:paraId="5F7613FF" w14:textId="77777777" w:rsidR="00423A0F" w:rsidRPr="00423A0F" w:rsidRDefault="00A8429F" w:rsidP="00423A0F">
      <w:pPr>
        <w:spacing w:line="200" w:lineRule="exact"/>
        <w:jc w:val="both"/>
        <w:rPr>
          <w:rFonts w:ascii="Calibri" w:eastAsia="Calibri" w:hAnsi="Calibri" w:cs="Calibri"/>
          <w:i/>
          <w:iCs/>
          <w:sz w:val="18"/>
          <w:rtl/>
          <w:lang w:val="en-GB" w:bidi="ar-EG"/>
        </w:rPr>
      </w:pPr>
      <w:r>
        <w:rPr>
          <w:rFonts w:ascii="Calibri" w:eastAsia="Calibri" w:hAnsi="Calibri" w:cs="Calibri"/>
          <w:b/>
          <w:bCs/>
          <w:i/>
          <w:iCs/>
          <w:sz w:val="18"/>
        </w:rPr>
        <w:t>4</w:t>
      </w:r>
      <w:r w:rsidR="00423A0F" w:rsidRPr="00423A0F">
        <w:rPr>
          <w:rFonts w:ascii="Calibri" w:eastAsia="Calibri" w:hAnsi="Calibri" w:cs="Calibri"/>
          <w:b/>
          <w:bCs/>
          <w:i/>
          <w:iCs/>
          <w:sz w:val="18"/>
        </w:rPr>
        <w:t>-Amount of Bone Loss and Digital Occlusal Analysis of Different Attachment Designs in Bilateral Distal Extension Partial Denture Cases</w:t>
      </w:r>
      <w:r w:rsidR="00423A0F" w:rsidRPr="00423A0F">
        <w:rPr>
          <w:rFonts w:ascii="Calibri" w:eastAsia="Calibri" w:hAnsi="Calibri" w:cs="Calibri"/>
          <w:i/>
          <w:iCs/>
          <w:sz w:val="18"/>
        </w:rPr>
        <w:t xml:space="preserve">. </w:t>
      </w:r>
    </w:p>
    <w:p w14:paraId="4FEA0BDB" w14:textId="77777777" w:rsidR="00423A0F" w:rsidRPr="00423A0F" w:rsidRDefault="00423A0F" w:rsidP="00423A0F">
      <w:pPr>
        <w:spacing w:line="200" w:lineRule="exact"/>
        <w:jc w:val="both"/>
        <w:rPr>
          <w:rFonts w:ascii="Calibri" w:eastAsia="Calibri" w:hAnsi="Calibri" w:cs="Calibri"/>
          <w:i/>
          <w:iCs/>
          <w:sz w:val="18"/>
        </w:rPr>
      </w:pPr>
      <w:r w:rsidRPr="00423A0F">
        <w:rPr>
          <w:rFonts w:ascii="Calibri" w:eastAsia="Calibri" w:hAnsi="Calibri" w:cs="Calibri"/>
          <w:i/>
          <w:iCs/>
          <w:sz w:val="18"/>
        </w:rPr>
        <w:t xml:space="preserve">Eman Helal, Ahmed M. </w:t>
      </w:r>
      <w:proofErr w:type="spellStart"/>
      <w:r w:rsidRPr="00423A0F">
        <w:rPr>
          <w:rFonts w:ascii="Calibri" w:eastAsia="Calibri" w:hAnsi="Calibri" w:cs="Calibri"/>
          <w:i/>
          <w:iCs/>
          <w:sz w:val="18"/>
        </w:rPr>
        <w:t>Esmat</w:t>
      </w:r>
      <w:proofErr w:type="spellEnd"/>
      <w:r w:rsidRPr="00423A0F">
        <w:rPr>
          <w:rFonts w:ascii="Calibri" w:eastAsia="Calibri" w:hAnsi="Calibri" w:cs="Calibri"/>
          <w:i/>
          <w:iCs/>
          <w:sz w:val="18"/>
        </w:rPr>
        <w:t xml:space="preserve"> and </w:t>
      </w:r>
      <w:proofErr w:type="spellStart"/>
      <w:r w:rsidRPr="00423A0F">
        <w:rPr>
          <w:rFonts w:ascii="Calibri" w:eastAsia="Calibri" w:hAnsi="Calibri" w:cs="Calibri"/>
          <w:i/>
          <w:iCs/>
          <w:sz w:val="18"/>
        </w:rPr>
        <w:t>Sherihan</w:t>
      </w:r>
      <w:proofErr w:type="spellEnd"/>
      <w:r w:rsidRPr="00423A0F">
        <w:rPr>
          <w:rFonts w:ascii="Calibri" w:eastAsia="Calibri" w:hAnsi="Calibri" w:cs="Calibri"/>
          <w:i/>
          <w:iCs/>
          <w:sz w:val="18"/>
        </w:rPr>
        <w:t xml:space="preserve"> M. </w:t>
      </w:r>
      <w:proofErr w:type="spellStart"/>
      <w:r w:rsidRPr="00423A0F">
        <w:rPr>
          <w:rFonts w:ascii="Calibri" w:eastAsia="Calibri" w:hAnsi="Calibri" w:cs="Calibri"/>
          <w:i/>
          <w:iCs/>
          <w:sz w:val="18"/>
        </w:rPr>
        <w:t>Eissa</w:t>
      </w:r>
      <w:proofErr w:type="spellEnd"/>
      <w:r w:rsidRPr="00423A0F">
        <w:rPr>
          <w:rFonts w:ascii="Calibri" w:eastAsia="Calibri" w:hAnsi="Calibri" w:cs="Calibri"/>
          <w:i/>
          <w:iCs/>
          <w:sz w:val="18"/>
        </w:rPr>
        <w:t xml:space="preserve">. </w:t>
      </w:r>
    </w:p>
    <w:p w14:paraId="60D5B1D0" w14:textId="77777777" w:rsidR="00423A0F" w:rsidRPr="00423A0F" w:rsidRDefault="00423A0F" w:rsidP="00423A0F">
      <w:pPr>
        <w:spacing w:line="200" w:lineRule="exact"/>
        <w:jc w:val="both"/>
        <w:rPr>
          <w:rFonts w:ascii="Calibri" w:eastAsia="Calibri" w:hAnsi="Calibri" w:cs="Calibri"/>
          <w:i/>
          <w:iCs/>
          <w:sz w:val="18"/>
        </w:rPr>
      </w:pPr>
      <w:r w:rsidRPr="00423A0F">
        <w:rPr>
          <w:rFonts w:ascii="Calibri" w:eastAsia="Calibri" w:hAnsi="Calibri" w:cs="Calibri"/>
          <w:i/>
          <w:iCs/>
          <w:sz w:val="18"/>
        </w:rPr>
        <w:t>International Journal of Advanced Research 2020;8(12): (431-438).</w:t>
      </w:r>
    </w:p>
    <w:p w14:paraId="01136FED" w14:textId="77777777" w:rsidR="00423A0F" w:rsidRPr="00423A0F" w:rsidRDefault="00423A0F" w:rsidP="00423A0F">
      <w:pPr>
        <w:spacing w:line="200" w:lineRule="exact"/>
        <w:jc w:val="both"/>
        <w:rPr>
          <w:rFonts w:ascii="Calibri" w:eastAsia="Calibri" w:hAnsi="Calibri" w:cs="Calibri"/>
          <w:i/>
          <w:iCs/>
          <w:sz w:val="18"/>
          <w:lang w:val="en-GB"/>
        </w:rPr>
      </w:pPr>
    </w:p>
    <w:tbl>
      <w:tblPr>
        <w:tblW w:w="0" w:type="auto"/>
        <w:tblBorders>
          <w:top w:val="nil"/>
          <w:left w:val="nil"/>
          <w:bottom w:val="nil"/>
          <w:right w:val="nil"/>
        </w:tblBorders>
        <w:tblLayout w:type="fixed"/>
        <w:tblLook w:val="0000" w:firstRow="0" w:lastRow="0" w:firstColumn="0" w:lastColumn="0" w:noHBand="0" w:noVBand="0"/>
      </w:tblPr>
      <w:tblGrid>
        <w:gridCol w:w="9354"/>
      </w:tblGrid>
      <w:tr w:rsidR="00423A0F" w:rsidRPr="00423A0F" w14:paraId="280E43AB" w14:textId="77777777" w:rsidTr="00BE5B7E">
        <w:trPr>
          <w:trHeight w:val="638"/>
        </w:trPr>
        <w:tc>
          <w:tcPr>
            <w:tcW w:w="9354" w:type="dxa"/>
          </w:tcPr>
          <w:p w14:paraId="61B99822" w14:textId="77777777" w:rsidR="00423A0F" w:rsidRPr="00423A0F" w:rsidRDefault="00A8429F" w:rsidP="00423A0F">
            <w:pPr>
              <w:spacing w:line="200" w:lineRule="exact"/>
              <w:jc w:val="both"/>
              <w:rPr>
                <w:rFonts w:ascii="Calibri" w:eastAsia="Calibri" w:hAnsi="Calibri" w:cs="Calibri"/>
                <w:b/>
                <w:bCs/>
                <w:i/>
                <w:iCs/>
                <w:sz w:val="18"/>
                <w:lang w:val="en-GB"/>
              </w:rPr>
            </w:pPr>
            <w:r>
              <w:rPr>
                <w:rFonts w:ascii="Calibri" w:eastAsia="Calibri" w:hAnsi="Calibri" w:cs="Calibri"/>
                <w:b/>
                <w:bCs/>
                <w:i/>
                <w:iCs/>
                <w:sz w:val="18"/>
                <w:lang w:val="en-GB"/>
              </w:rPr>
              <w:t>5</w:t>
            </w:r>
            <w:r w:rsidR="00423A0F" w:rsidRPr="00423A0F">
              <w:rPr>
                <w:rFonts w:ascii="Calibri" w:eastAsia="Calibri" w:hAnsi="Calibri" w:cs="Calibri"/>
                <w:b/>
                <w:bCs/>
                <w:i/>
                <w:iCs/>
                <w:sz w:val="18"/>
                <w:lang w:val="en-GB"/>
              </w:rPr>
              <w:t xml:space="preserve">-Probing depth and patient satisfaction with mandibular overdentures retained by four versus two mini-implants: randomized controlled clinical study </w:t>
            </w:r>
          </w:p>
        </w:tc>
      </w:tr>
      <w:tr w:rsidR="00423A0F" w:rsidRPr="00423A0F" w14:paraId="0B3D24C6" w14:textId="77777777" w:rsidTr="00BE5B7E">
        <w:trPr>
          <w:trHeight w:val="186"/>
        </w:trPr>
        <w:tc>
          <w:tcPr>
            <w:tcW w:w="9354" w:type="dxa"/>
          </w:tcPr>
          <w:p w14:paraId="4646CAF7" w14:textId="77777777" w:rsidR="00423A0F" w:rsidRPr="00423A0F" w:rsidRDefault="00423A0F" w:rsidP="00423A0F">
            <w:pPr>
              <w:spacing w:line="200" w:lineRule="exact"/>
              <w:jc w:val="both"/>
              <w:rPr>
                <w:rFonts w:ascii="Calibri" w:eastAsia="Calibri" w:hAnsi="Calibri" w:cs="Calibri"/>
                <w:i/>
                <w:iCs/>
                <w:sz w:val="18"/>
                <w:lang w:val="en-GB"/>
              </w:rPr>
            </w:pPr>
            <w:r w:rsidRPr="00423A0F">
              <w:rPr>
                <w:rFonts w:ascii="Calibri" w:eastAsia="Calibri" w:hAnsi="Calibri" w:cs="Calibri"/>
                <w:i/>
                <w:iCs/>
                <w:sz w:val="18"/>
                <w:lang w:val="en-GB"/>
              </w:rPr>
              <w:t xml:space="preserve">May Mahmoud Hassan, Ayman </w:t>
            </w:r>
            <w:proofErr w:type="gramStart"/>
            <w:r w:rsidRPr="00423A0F">
              <w:rPr>
                <w:rFonts w:ascii="Calibri" w:eastAsia="Calibri" w:hAnsi="Calibri" w:cs="Calibri"/>
                <w:i/>
                <w:iCs/>
                <w:sz w:val="18"/>
                <w:lang w:val="en-GB"/>
              </w:rPr>
              <w:t>Gouda  and</w:t>
            </w:r>
            <w:proofErr w:type="gramEnd"/>
            <w:r w:rsidRPr="00423A0F">
              <w:rPr>
                <w:rFonts w:ascii="Calibri" w:eastAsia="Calibri" w:hAnsi="Calibri" w:cs="Calibri"/>
                <w:i/>
                <w:iCs/>
                <w:sz w:val="18"/>
                <w:lang w:val="en-GB"/>
              </w:rPr>
              <w:t xml:space="preserve"> Eman Helal.</w:t>
            </w:r>
          </w:p>
          <w:p w14:paraId="24E54963" w14:textId="77777777" w:rsidR="00423A0F" w:rsidRPr="00423A0F" w:rsidRDefault="00423A0F" w:rsidP="00423A0F">
            <w:pPr>
              <w:spacing w:line="200" w:lineRule="exact"/>
              <w:jc w:val="both"/>
              <w:rPr>
                <w:rFonts w:ascii="Calibri" w:eastAsia="Calibri" w:hAnsi="Calibri" w:cs="Calibri"/>
                <w:i/>
                <w:iCs/>
                <w:sz w:val="18"/>
                <w:lang w:val="en-GB"/>
              </w:rPr>
            </w:pPr>
            <w:r w:rsidRPr="00423A0F">
              <w:rPr>
                <w:rFonts w:ascii="Calibri" w:eastAsia="Calibri" w:hAnsi="Calibri" w:cs="Calibri"/>
                <w:i/>
                <w:iCs/>
                <w:sz w:val="18"/>
                <w:lang w:val="en-GB"/>
              </w:rPr>
              <w:t xml:space="preserve"> Egyptian Dental Journal,</w:t>
            </w:r>
            <w:r w:rsidRPr="00423A0F">
              <w:rPr>
                <w:rFonts w:ascii="Calibri" w:eastAsia="Calibri" w:hAnsi="Calibri" w:cs="Calibri"/>
                <w:b/>
                <w:bCs/>
                <w:i/>
                <w:iCs/>
                <w:sz w:val="18"/>
              </w:rPr>
              <w:t xml:space="preserve"> </w:t>
            </w:r>
            <w:r w:rsidRPr="00423A0F">
              <w:rPr>
                <w:rFonts w:ascii="Calibri" w:eastAsia="Calibri" w:hAnsi="Calibri" w:cs="Calibri"/>
                <w:i/>
                <w:iCs/>
                <w:sz w:val="18"/>
              </w:rPr>
              <w:t xml:space="preserve">Vol. 67, 3447:3456, October, </w:t>
            </w:r>
            <w:proofErr w:type="gramStart"/>
            <w:r w:rsidRPr="00423A0F">
              <w:rPr>
                <w:rFonts w:ascii="Calibri" w:eastAsia="Calibri" w:hAnsi="Calibri" w:cs="Calibri"/>
                <w:i/>
                <w:iCs/>
                <w:sz w:val="18"/>
              </w:rPr>
              <w:t>2021</w:t>
            </w:r>
            <w:r w:rsidRPr="00423A0F">
              <w:rPr>
                <w:rFonts w:ascii="Calibri" w:eastAsia="Calibri" w:hAnsi="Calibri" w:cs="Calibri"/>
                <w:i/>
                <w:iCs/>
                <w:sz w:val="18"/>
                <w:lang w:val="en-GB"/>
              </w:rPr>
              <w:t xml:space="preserve"> .</w:t>
            </w:r>
            <w:proofErr w:type="gramEnd"/>
          </w:p>
        </w:tc>
      </w:tr>
    </w:tbl>
    <w:p w14:paraId="43B8702F" w14:textId="77777777" w:rsidR="00423A0F" w:rsidRPr="00423A0F" w:rsidRDefault="00423A0F" w:rsidP="00423A0F">
      <w:pPr>
        <w:spacing w:line="200" w:lineRule="exact"/>
        <w:jc w:val="both"/>
        <w:rPr>
          <w:rFonts w:ascii="Calibri" w:eastAsia="Calibri" w:hAnsi="Calibri" w:cs="Calibri"/>
          <w:i/>
          <w:iCs/>
          <w:sz w:val="18"/>
        </w:rPr>
      </w:pPr>
    </w:p>
    <w:tbl>
      <w:tblPr>
        <w:tblW w:w="0" w:type="auto"/>
        <w:tblBorders>
          <w:top w:val="nil"/>
          <w:left w:val="nil"/>
          <w:bottom w:val="nil"/>
          <w:right w:val="nil"/>
        </w:tblBorders>
        <w:tblLayout w:type="fixed"/>
        <w:tblLook w:val="0000" w:firstRow="0" w:lastRow="0" w:firstColumn="0" w:lastColumn="0" w:noHBand="0" w:noVBand="0"/>
      </w:tblPr>
      <w:tblGrid>
        <w:gridCol w:w="9354"/>
      </w:tblGrid>
      <w:tr w:rsidR="00423A0F" w:rsidRPr="00423A0F" w14:paraId="3361EF4F" w14:textId="77777777" w:rsidTr="00BE5B7E">
        <w:trPr>
          <w:trHeight w:val="1238"/>
        </w:trPr>
        <w:tc>
          <w:tcPr>
            <w:tcW w:w="9354" w:type="dxa"/>
          </w:tcPr>
          <w:p w14:paraId="15B49404" w14:textId="77777777" w:rsidR="00423A0F" w:rsidRPr="00423A0F" w:rsidRDefault="00423A0F" w:rsidP="00A8429F">
            <w:pPr>
              <w:spacing w:line="200" w:lineRule="exact"/>
              <w:jc w:val="both"/>
              <w:rPr>
                <w:rFonts w:ascii="Calibri" w:eastAsia="Calibri" w:hAnsi="Calibri" w:cs="Calibri"/>
                <w:b/>
                <w:bCs/>
                <w:i/>
                <w:iCs/>
                <w:sz w:val="18"/>
                <w:rtl/>
                <w:lang w:val="en-GB"/>
              </w:rPr>
            </w:pPr>
            <w:r w:rsidRPr="00423A0F">
              <w:rPr>
                <w:rFonts w:ascii="Calibri" w:eastAsia="Calibri" w:hAnsi="Calibri" w:cs="Calibri"/>
                <w:i/>
                <w:iCs/>
                <w:sz w:val="18"/>
                <w:lang w:val="en-GB"/>
              </w:rPr>
              <w:t xml:space="preserve"> </w:t>
            </w:r>
            <w:r w:rsidR="00A8429F">
              <w:rPr>
                <w:rFonts w:ascii="Calibri" w:eastAsia="Calibri" w:hAnsi="Calibri" w:cs="Calibri"/>
                <w:b/>
                <w:bCs/>
                <w:i/>
                <w:iCs/>
                <w:sz w:val="18"/>
                <w:lang w:val="en-GB"/>
              </w:rPr>
              <w:t>6</w:t>
            </w:r>
            <w:r w:rsidRPr="00423A0F">
              <w:rPr>
                <w:rFonts w:ascii="Calibri" w:eastAsia="Calibri" w:hAnsi="Calibri" w:cs="Calibri"/>
                <w:b/>
                <w:bCs/>
                <w:i/>
                <w:iCs/>
                <w:sz w:val="18"/>
                <w:lang w:val="en-GB"/>
              </w:rPr>
              <w:t>-peri-implant marginal bone loss and oral health-related quality of life in patients treated by mini-implant-retained mandibular overdentures with different occlusal schemes (lingualized, monoplane and bilateral balanced): a randomized clinical trial</w:t>
            </w:r>
            <w:r w:rsidRPr="00423A0F">
              <w:rPr>
                <w:rFonts w:ascii="Calibri" w:eastAsia="Calibri" w:hAnsi="Calibri" w:cs="Calibri" w:hint="cs"/>
                <w:b/>
                <w:bCs/>
                <w:i/>
                <w:iCs/>
                <w:sz w:val="18"/>
                <w:rtl/>
                <w:lang w:val="en-GB"/>
              </w:rPr>
              <w:t>.</w:t>
            </w:r>
          </w:p>
          <w:p w14:paraId="4B9F283B" w14:textId="77777777" w:rsidR="00423A0F" w:rsidRPr="00423A0F" w:rsidRDefault="00423A0F" w:rsidP="00423A0F">
            <w:pPr>
              <w:spacing w:line="200" w:lineRule="exact"/>
              <w:jc w:val="both"/>
              <w:rPr>
                <w:rFonts w:ascii="Calibri" w:eastAsia="Calibri" w:hAnsi="Calibri" w:cs="Calibri"/>
                <w:b/>
                <w:bCs/>
                <w:i/>
                <w:iCs/>
                <w:sz w:val="18"/>
                <w:rtl/>
                <w:lang w:val="en-GB"/>
              </w:rPr>
            </w:pPr>
          </w:p>
          <w:p w14:paraId="33D743EA" w14:textId="77777777" w:rsidR="00423A0F" w:rsidRPr="00423A0F" w:rsidRDefault="00423A0F" w:rsidP="00423A0F">
            <w:pPr>
              <w:spacing w:line="200" w:lineRule="exact"/>
              <w:jc w:val="both"/>
              <w:rPr>
                <w:rFonts w:ascii="Calibri" w:eastAsia="Calibri" w:hAnsi="Calibri" w:cs="Calibri"/>
                <w:i/>
                <w:iCs/>
                <w:sz w:val="18"/>
                <w:lang w:val="en-GB"/>
              </w:rPr>
            </w:pPr>
            <w:r w:rsidRPr="00423A0F">
              <w:rPr>
                <w:rFonts w:ascii="Calibri" w:eastAsia="Calibri" w:hAnsi="Calibri" w:cs="Calibri"/>
                <w:b/>
                <w:bCs/>
                <w:i/>
                <w:iCs/>
                <w:sz w:val="18"/>
                <w:lang w:val="en-GB"/>
              </w:rPr>
              <w:t xml:space="preserve"> </w:t>
            </w:r>
            <w:r w:rsidRPr="00423A0F">
              <w:rPr>
                <w:rFonts w:ascii="Calibri" w:eastAsia="Calibri" w:hAnsi="Calibri" w:cs="Calibri"/>
                <w:i/>
                <w:iCs/>
                <w:sz w:val="18"/>
                <w:lang w:val="en-GB"/>
              </w:rPr>
              <w:t>Iman Adel El-</w:t>
            </w:r>
            <w:proofErr w:type="spellStart"/>
            <w:r w:rsidRPr="00423A0F">
              <w:rPr>
                <w:rFonts w:ascii="Calibri" w:eastAsia="Calibri" w:hAnsi="Calibri" w:cs="Calibri"/>
                <w:i/>
                <w:iCs/>
                <w:sz w:val="18"/>
                <w:lang w:val="en-GB"/>
              </w:rPr>
              <w:t>Asfahani</w:t>
            </w:r>
            <w:proofErr w:type="spellEnd"/>
            <w:r w:rsidRPr="00423A0F">
              <w:rPr>
                <w:rFonts w:ascii="Calibri" w:eastAsia="Calibri" w:hAnsi="Calibri" w:cs="Calibri"/>
                <w:i/>
                <w:iCs/>
                <w:sz w:val="18"/>
                <w:lang w:val="en-GB"/>
              </w:rPr>
              <w:t xml:space="preserve"> and Eman Helal.</w:t>
            </w:r>
          </w:p>
          <w:p w14:paraId="645531BC" w14:textId="77777777" w:rsidR="00423A0F" w:rsidRPr="00423A0F" w:rsidRDefault="00423A0F" w:rsidP="00423A0F">
            <w:pPr>
              <w:spacing w:line="200" w:lineRule="exact"/>
              <w:jc w:val="both"/>
              <w:rPr>
                <w:rFonts w:ascii="Calibri" w:eastAsia="Calibri" w:hAnsi="Calibri" w:cs="Calibri"/>
                <w:i/>
                <w:iCs/>
                <w:sz w:val="18"/>
                <w:lang w:val="en-GB"/>
              </w:rPr>
            </w:pPr>
            <w:r w:rsidRPr="00423A0F">
              <w:rPr>
                <w:rFonts w:ascii="Calibri" w:eastAsia="Calibri" w:hAnsi="Calibri" w:cs="Calibri"/>
                <w:i/>
                <w:iCs/>
                <w:sz w:val="18"/>
                <w:lang w:val="en-GB"/>
              </w:rPr>
              <w:t xml:space="preserve"> Egyptian Dental Journal,</w:t>
            </w:r>
            <w:r w:rsidRPr="00423A0F">
              <w:rPr>
                <w:rFonts w:ascii="Calibri" w:eastAsia="Calibri" w:hAnsi="Calibri" w:cs="Calibri"/>
                <w:b/>
                <w:bCs/>
                <w:i/>
                <w:iCs/>
                <w:sz w:val="18"/>
                <w:lang w:val="en-GB"/>
              </w:rPr>
              <w:t xml:space="preserve"> </w:t>
            </w:r>
            <w:r w:rsidRPr="00423A0F">
              <w:rPr>
                <w:rFonts w:ascii="Calibri" w:eastAsia="Calibri" w:hAnsi="Calibri" w:cs="Calibri"/>
                <w:i/>
                <w:iCs/>
                <w:sz w:val="18"/>
                <w:lang w:val="en-GB"/>
              </w:rPr>
              <w:t>Vol. 68, 923:936, January, 2022</w:t>
            </w:r>
          </w:p>
        </w:tc>
      </w:tr>
      <w:tr w:rsidR="00423A0F" w:rsidRPr="00423A0F" w14:paraId="140CB13F" w14:textId="77777777" w:rsidTr="00BE5B7E">
        <w:trPr>
          <w:trHeight w:val="186"/>
        </w:trPr>
        <w:tc>
          <w:tcPr>
            <w:tcW w:w="9354" w:type="dxa"/>
          </w:tcPr>
          <w:p w14:paraId="4F2686C2" w14:textId="77777777" w:rsidR="00423A0F" w:rsidRPr="00423A0F" w:rsidRDefault="00423A0F" w:rsidP="00423A0F">
            <w:pPr>
              <w:spacing w:line="200" w:lineRule="exact"/>
              <w:jc w:val="both"/>
              <w:rPr>
                <w:rFonts w:ascii="Calibri" w:eastAsia="Calibri" w:hAnsi="Calibri" w:cs="Calibri"/>
                <w:i/>
                <w:iCs/>
                <w:sz w:val="18"/>
                <w:lang w:val="en-GB"/>
              </w:rPr>
            </w:pPr>
          </w:p>
        </w:tc>
      </w:tr>
    </w:tbl>
    <w:p w14:paraId="45F87F86" w14:textId="77777777" w:rsidR="00423A0F" w:rsidRPr="00423A0F" w:rsidRDefault="00152977" w:rsidP="00423A0F">
      <w:pPr>
        <w:spacing w:line="200" w:lineRule="exact"/>
        <w:jc w:val="both"/>
        <w:rPr>
          <w:rFonts w:ascii="Calibri" w:eastAsia="Calibri" w:hAnsi="Calibri" w:cs="Calibri"/>
          <w:b/>
          <w:bCs/>
          <w:i/>
          <w:iCs/>
          <w:sz w:val="18"/>
          <w:lang w:val="en-GB"/>
        </w:rPr>
      </w:pPr>
      <w:r>
        <w:rPr>
          <w:rFonts w:ascii="Calibri" w:eastAsia="Calibri" w:hAnsi="Calibri" w:cs="Calibri"/>
          <w:b/>
          <w:bCs/>
          <w:i/>
          <w:iCs/>
          <w:sz w:val="18"/>
        </w:rPr>
        <w:t>7</w:t>
      </w:r>
      <w:r w:rsidR="00423A0F" w:rsidRPr="00423A0F">
        <w:rPr>
          <w:rFonts w:ascii="Calibri" w:eastAsia="Calibri" w:hAnsi="Calibri" w:cs="Calibri"/>
          <w:b/>
          <w:bCs/>
          <w:i/>
          <w:iCs/>
          <w:sz w:val="18"/>
        </w:rPr>
        <w:t>-</w:t>
      </w:r>
      <w:r w:rsidR="00423A0F" w:rsidRPr="00423A0F">
        <w:rPr>
          <w:rFonts w:ascii="Calibri" w:eastAsia="Calibri" w:hAnsi="Calibri" w:cs="Calibri"/>
          <w:b/>
          <w:bCs/>
          <w:i/>
          <w:iCs/>
          <w:sz w:val="18"/>
          <w:lang w:val="en-GB"/>
        </w:rPr>
        <w:t>Influence of denture adhesives on oral health quality of life, occlusion and disocclusion times</w:t>
      </w:r>
      <w:r w:rsidR="00423A0F" w:rsidRPr="00423A0F">
        <w:rPr>
          <w:rFonts w:ascii="Calibri" w:eastAsia="Calibri" w:hAnsi="Calibri" w:cs="Calibri" w:hint="cs"/>
          <w:b/>
          <w:bCs/>
          <w:i/>
          <w:iCs/>
          <w:sz w:val="18"/>
          <w:rtl/>
          <w:lang w:val="en-GB"/>
        </w:rPr>
        <w:t xml:space="preserve"> </w:t>
      </w:r>
      <w:r w:rsidR="00423A0F" w:rsidRPr="00423A0F">
        <w:rPr>
          <w:rFonts w:ascii="Calibri" w:eastAsia="Calibri" w:hAnsi="Calibri" w:cs="Calibri"/>
          <w:b/>
          <w:bCs/>
          <w:i/>
          <w:iCs/>
          <w:sz w:val="18"/>
          <w:lang w:val="en-GB"/>
        </w:rPr>
        <w:t>of digitally fabricated and designed removable complete dentures (clinical cross over study)</w:t>
      </w:r>
    </w:p>
    <w:p w14:paraId="69411603" w14:textId="77777777" w:rsidR="00423A0F" w:rsidRPr="00423A0F" w:rsidRDefault="00423A0F" w:rsidP="00423A0F">
      <w:pPr>
        <w:spacing w:line="200" w:lineRule="exact"/>
        <w:jc w:val="both"/>
        <w:rPr>
          <w:rFonts w:ascii="Calibri" w:eastAsia="Calibri" w:hAnsi="Calibri" w:cs="Calibri"/>
          <w:i/>
          <w:iCs/>
          <w:sz w:val="18"/>
        </w:rPr>
      </w:pPr>
      <w:r w:rsidRPr="00423A0F">
        <w:rPr>
          <w:rFonts w:ascii="Calibri" w:eastAsia="Calibri" w:hAnsi="Calibri" w:cs="Calibri"/>
          <w:i/>
          <w:iCs/>
          <w:sz w:val="18"/>
          <w:lang w:val="en-GB"/>
        </w:rPr>
        <w:t xml:space="preserve"> Eman </w:t>
      </w:r>
      <w:r w:rsidRPr="00423A0F">
        <w:rPr>
          <w:rFonts w:ascii="Calibri" w:eastAsia="Calibri" w:hAnsi="Calibri" w:cs="Calibri"/>
          <w:i/>
          <w:iCs/>
          <w:sz w:val="18"/>
        </w:rPr>
        <w:t>H</w:t>
      </w:r>
      <w:proofErr w:type="spellStart"/>
      <w:r w:rsidRPr="00423A0F">
        <w:rPr>
          <w:rFonts w:ascii="Calibri" w:eastAsia="Calibri" w:hAnsi="Calibri" w:cs="Calibri"/>
          <w:i/>
          <w:iCs/>
          <w:sz w:val="18"/>
          <w:lang w:val="en-GB"/>
        </w:rPr>
        <w:t>elal</w:t>
      </w:r>
      <w:proofErr w:type="spellEnd"/>
      <w:r w:rsidRPr="00423A0F">
        <w:rPr>
          <w:rFonts w:ascii="Calibri" w:eastAsia="Calibri" w:hAnsi="Calibri" w:cs="Calibri"/>
          <w:i/>
          <w:iCs/>
          <w:sz w:val="18"/>
          <w:lang w:val="en-GB"/>
        </w:rPr>
        <w:t xml:space="preserve">, Ahmed </w:t>
      </w:r>
      <w:proofErr w:type="spellStart"/>
      <w:proofErr w:type="gramStart"/>
      <w:r w:rsidRPr="00423A0F">
        <w:rPr>
          <w:rFonts w:ascii="Calibri" w:eastAsia="Calibri" w:hAnsi="Calibri" w:cs="Calibri"/>
          <w:i/>
          <w:iCs/>
          <w:sz w:val="18"/>
          <w:lang w:val="en-GB"/>
        </w:rPr>
        <w:t>M.Esmat</w:t>
      </w:r>
      <w:proofErr w:type="spellEnd"/>
      <w:proofErr w:type="gramEnd"/>
      <w:r w:rsidRPr="00423A0F">
        <w:rPr>
          <w:rFonts w:ascii="Calibri" w:eastAsia="Calibri" w:hAnsi="Calibri" w:cs="Calibri"/>
          <w:i/>
          <w:iCs/>
          <w:sz w:val="18"/>
          <w:lang w:val="en-GB"/>
        </w:rPr>
        <w:t xml:space="preserve">, Ayman F. </w:t>
      </w:r>
      <w:proofErr w:type="spellStart"/>
      <w:r w:rsidRPr="00423A0F">
        <w:rPr>
          <w:rFonts w:ascii="Calibri" w:eastAsia="Calibri" w:hAnsi="Calibri" w:cs="Calibri"/>
          <w:i/>
          <w:iCs/>
          <w:sz w:val="18"/>
          <w:lang w:val="en-GB"/>
        </w:rPr>
        <w:t>Elawady</w:t>
      </w:r>
      <w:proofErr w:type="spellEnd"/>
      <w:r w:rsidRPr="00423A0F">
        <w:rPr>
          <w:rFonts w:ascii="Calibri" w:eastAsia="Calibri" w:hAnsi="Calibri" w:cs="Calibri"/>
          <w:i/>
          <w:iCs/>
          <w:sz w:val="18"/>
          <w:lang w:val="en-GB"/>
        </w:rPr>
        <w:t xml:space="preserve"> and </w:t>
      </w:r>
      <w:proofErr w:type="spellStart"/>
      <w:r w:rsidRPr="00423A0F">
        <w:rPr>
          <w:rFonts w:ascii="Calibri" w:eastAsia="Calibri" w:hAnsi="Calibri" w:cs="Calibri"/>
          <w:i/>
          <w:iCs/>
          <w:sz w:val="18"/>
          <w:lang w:val="en-GB"/>
        </w:rPr>
        <w:t>Maie</w:t>
      </w:r>
      <w:proofErr w:type="spellEnd"/>
      <w:r w:rsidRPr="00423A0F">
        <w:rPr>
          <w:rFonts w:ascii="Calibri" w:eastAsia="Calibri" w:hAnsi="Calibri" w:cs="Calibri"/>
          <w:i/>
          <w:iCs/>
          <w:sz w:val="18"/>
          <w:lang w:val="en-GB"/>
        </w:rPr>
        <w:t xml:space="preserve"> F. F. Khalil .</w:t>
      </w:r>
      <w:r w:rsidRPr="00423A0F">
        <w:rPr>
          <w:rFonts w:ascii="Calibri" w:eastAsia="Calibri" w:hAnsi="Calibri" w:cs="Calibri"/>
          <w:i/>
          <w:iCs/>
          <w:sz w:val="18"/>
        </w:rPr>
        <w:t xml:space="preserve"> </w:t>
      </w:r>
    </w:p>
    <w:p w14:paraId="00F6653C" w14:textId="77777777" w:rsidR="00423A0F" w:rsidRPr="00423A0F" w:rsidRDefault="00423A0F" w:rsidP="00423A0F">
      <w:pPr>
        <w:spacing w:line="200" w:lineRule="exact"/>
        <w:jc w:val="both"/>
        <w:rPr>
          <w:rFonts w:ascii="Calibri" w:eastAsia="Calibri" w:hAnsi="Calibri" w:cs="Calibri"/>
          <w:i/>
          <w:iCs/>
          <w:sz w:val="18"/>
          <w:lang w:val="en-GB"/>
        </w:rPr>
      </w:pPr>
      <w:r w:rsidRPr="00423A0F">
        <w:rPr>
          <w:rFonts w:ascii="Calibri" w:eastAsia="Calibri" w:hAnsi="Calibri" w:cs="Calibri"/>
          <w:i/>
          <w:iCs/>
          <w:sz w:val="18"/>
        </w:rPr>
        <w:t>International Journal of Advanced Research 2022: 10(06), 696-706.</w:t>
      </w:r>
    </w:p>
    <w:p w14:paraId="079650BE" w14:textId="77777777" w:rsidR="00423A0F" w:rsidRPr="00423A0F" w:rsidRDefault="00423A0F" w:rsidP="00423A0F">
      <w:pPr>
        <w:spacing w:line="200" w:lineRule="exact"/>
        <w:jc w:val="both"/>
        <w:rPr>
          <w:rFonts w:ascii="Calibri" w:eastAsia="Calibri" w:hAnsi="Calibri" w:cs="Calibri"/>
          <w:i/>
          <w:iCs/>
          <w:sz w:val="18"/>
          <w:rtl/>
          <w:lang w:val="en-GB" w:bidi="ar-EG"/>
        </w:rPr>
      </w:pPr>
    </w:p>
    <w:p w14:paraId="2CA4475E"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3552A4EC" w14:textId="77777777" w:rsidR="00AE3E37" w:rsidRDefault="00AE3E37">
      <w:pPr>
        <w:pStyle w:val="BodyText"/>
        <w:rPr>
          <w:rFonts w:ascii="Calibri"/>
          <w:sz w:val="20"/>
        </w:rPr>
      </w:pPr>
    </w:p>
    <w:p w14:paraId="3E8DC3AB"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3C9B6A16" wp14:editId="3141AD4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086A8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F9855B7" w14:textId="77777777" w:rsidR="001F0689" w:rsidRDefault="00A52075" w:rsidP="00404E5B">
      <w:pPr>
        <w:spacing w:before="92"/>
        <w:ind w:right="4234"/>
        <w:rPr>
          <w:noProof/>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3FA23E9C" wp14:editId="4E48C621">
                <wp:simplePos x="0" y="0"/>
                <wp:positionH relativeFrom="column">
                  <wp:posOffset>5721350</wp:posOffset>
                </wp:positionH>
                <wp:positionV relativeFrom="paragraph">
                  <wp:posOffset>59054</wp:posOffset>
                </wp:positionV>
                <wp:extent cx="904875" cy="1076325"/>
                <wp:effectExtent l="19050" t="19050" r="28575" b="2857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107632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7607459" w14:textId="77777777" w:rsidR="00A52075" w:rsidRDefault="001F0689" w:rsidP="00A52075">
                            <w:pPr>
                              <w:rPr>
                                <w:b/>
                                <w:color w:val="0000FF"/>
                                <w:lang w:val="en-IN"/>
                              </w:rPr>
                            </w:pPr>
                            <w:r>
                              <w:rPr>
                                <w:b/>
                                <w:noProof/>
                                <w:color w:val="0000FF"/>
                                <w:lang w:val="en-GB" w:eastAsia="en-GB"/>
                              </w:rPr>
                              <w:drawing>
                                <wp:inline distT="0" distB="0" distL="0" distR="0" wp14:anchorId="27500957" wp14:editId="44831A5C">
                                  <wp:extent cx="581025" cy="8763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8763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A23E9C" id="Rounded Rectangle 2" o:spid="_x0000_s1026" style="position:absolute;margin-left:450.5pt;margin-top:4.65pt;width:71.25pt;height:8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" strokecolor="#9bbb59" strokeweight="2.5pt">
                <v:shadow color="#868686"/>
                <v:textbox>
                  <w:txbxContent>
                    <w:p w14:paraId="47607459" w14:textId="77777777" w:rsidR="00A52075" w:rsidRDefault="001F0689" w:rsidP="00A52075">
                      <w:pPr>
                        <w:rPr>
                          <w:b/>
                          <w:color w:val="0000FF"/>
                          <w:lang w:val="en-IN"/>
                        </w:rPr>
                      </w:pPr>
                      <w:r>
                        <w:rPr>
                          <w:b/>
                          <w:noProof/>
                          <w:color w:val="0000FF"/>
                          <w:lang w:val="en-GB" w:eastAsia="en-GB"/>
                        </w:rPr>
                        <w:drawing>
                          <wp:inline distT="0" distB="0" distL="0" distR="0" wp14:anchorId="27500957" wp14:editId="44831A5C">
                            <wp:extent cx="581025" cy="8763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876300"/>
                                    </a:xfrm>
                                    <a:prstGeom prst="rect">
                                      <a:avLst/>
                                    </a:prstGeom>
                                    <a:noFill/>
                                    <a:ln>
                                      <a:noFill/>
                                    </a:ln>
                                  </pic:spPr>
                                </pic:pic>
                              </a:graphicData>
                            </a:graphic>
                          </wp:inline>
                        </w:drawing>
                      </w:r>
                    </w:p>
                  </w:txbxContent>
                </v:textbox>
              </v:roundrect>
            </w:pict>
          </mc:Fallback>
        </mc:AlternateContent>
      </w:r>
      <w:r w:rsidR="008756E6">
        <w:rPr>
          <w:noProof/>
        </w:rPr>
        <w:t xml:space="preserve">              </w:t>
      </w:r>
      <w:r w:rsidR="001F0689">
        <w:rPr>
          <w:rFonts w:ascii="Times New Roman" w:eastAsia="Times New Roman" w:hAnsi="Times New Roman" w:cs="Times New Roman"/>
          <w:noProof/>
          <w:sz w:val="24"/>
          <w:szCs w:val="24"/>
          <w:lang w:val="en-GB" w:eastAsia="en-GB"/>
        </w:rPr>
        <w:drawing>
          <wp:inline distT="0" distB="0" distL="0" distR="0" wp14:anchorId="58E5C990" wp14:editId="02727088">
            <wp:extent cx="969458" cy="11811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l="11717" t="6012" r="13878" b="9290"/>
                    <a:stretch>
                      <a:fillRect/>
                    </a:stretch>
                  </pic:blipFill>
                  <pic:spPr bwMode="auto">
                    <a:xfrm>
                      <a:off x="0" y="0"/>
                      <a:ext cx="969458" cy="1181100"/>
                    </a:xfrm>
                    <a:prstGeom prst="rect">
                      <a:avLst/>
                    </a:prstGeom>
                    <a:noFill/>
                    <a:ln>
                      <a:noFill/>
                    </a:ln>
                  </pic:spPr>
                </pic:pic>
              </a:graphicData>
            </a:graphic>
          </wp:inline>
        </w:drawing>
      </w:r>
    </w:p>
    <w:p w14:paraId="721D46DD" w14:textId="7777777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68347003" w14:textId="77777777" w:rsidR="00AE3E37" w:rsidRDefault="001F0689" w:rsidP="001F0689">
      <w:pPr>
        <w:spacing w:before="41" w:line="154" w:lineRule="exact"/>
        <w:ind w:left="213" w:right="231"/>
        <w:jc w:val="both"/>
        <w:rPr>
          <w:rFonts w:ascii="Arial"/>
          <w:sz w:val="14"/>
        </w:rPr>
      </w:pPr>
      <w:r>
        <w:rPr>
          <w:rFonts w:ascii="Arial"/>
          <w:sz w:val="14"/>
        </w:rPr>
        <w:t>Eman Helal</w:t>
      </w:r>
      <w:r w:rsidR="00A9710C">
        <w:rPr>
          <w:rFonts w:ascii="Arial"/>
          <w:sz w:val="14"/>
        </w:rPr>
        <w:t xml:space="preserve"> has her expertise in </w:t>
      </w:r>
      <w:r>
        <w:rPr>
          <w:rFonts w:ascii="Arial"/>
          <w:sz w:val="14"/>
        </w:rPr>
        <w:t xml:space="preserve">prosthodontics  she earned her Master and PhD of prosthodontics (2012-2017),she taught removable prosthodontics in different universities in Egypt and United Arab </w:t>
      </w:r>
      <w:proofErr w:type="spellStart"/>
      <w:r>
        <w:rPr>
          <w:rFonts w:ascii="Arial"/>
          <w:sz w:val="14"/>
        </w:rPr>
        <w:t>Emirates,she</w:t>
      </w:r>
      <w:proofErr w:type="spellEnd"/>
      <w:r>
        <w:rPr>
          <w:rFonts w:ascii="Arial"/>
          <w:sz w:val="14"/>
        </w:rPr>
        <w:t xml:space="preserve"> published over fifteen papers in local and international journals.</w:t>
      </w:r>
    </w:p>
    <w:p w14:paraId="3EBA1A4D" w14:textId="77777777" w:rsidR="00AE3E37" w:rsidRDefault="00A9710C" w:rsidP="001F0689">
      <w:pPr>
        <w:spacing w:before="62"/>
        <w:ind w:left="4217" w:right="4235"/>
        <w:jc w:val="center"/>
        <w:rPr>
          <w:rFonts w:ascii="Arial"/>
          <w:sz w:val="14"/>
        </w:rPr>
      </w:pPr>
      <w:r>
        <w:rPr>
          <w:rFonts w:ascii="Arial"/>
          <w:sz w:val="14"/>
        </w:rPr>
        <w:t xml:space="preserve">Email: </w:t>
      </w:r>
      <w:r w:rsidR="001F0689">
        <w:rPr>
          <w:rFonts w:ascii="Arial"/>
          <w:sz w:val="14"/>
        </w:rPr>
        <w:t>emangamalrashed@gmail.com</w:t>
      </w:r>
    </w:p>
    <w:p w14:paraId="048FD571" w14:textId="77777777"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7B53D55D" wp14:editId="5A2D475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509C1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CFBFEE2" w14:textId="77777777" w:rsidR="00AE3E37" w:rsidRDefault="00AE3E37">
      <w:pPr>
        <w:pStyle w:val="BodyText"/>
        <w:rPr>
          <w:rFonts w:ascii="Arial"/>
          <w:sz w:val="20"/>
        </w:rPr>
      </w:pPr>
    </w:p>
    <w:p w14:paraId="0A6DEBBD" w14:textId="77777777" w:rsidR="00AE3E37" w:rsidRDefault="00AE3E37">
      <w:pPr>
        <w:pStyle w:val="BodyText"/>
        <w:rPr>
          <w:rFonts w:ascii="Arial"/>
          <w:sz w:val="20"/>
        </w:rPr>
      </w:pPr>
    </w:p>
    <w:p w14:paraId="35F957A6" w14:textId="77777777" w:rsidR="00AE3E37" w:rsidRDefault="00AE3E37">
      <w:pPr>
        <w:pStyle w:val="BodyText"/>
        <w:spacing w:before="7"/>
        <w:rPr>
          <w:rFonts w:ascii="Arial"/>
          <w:sz w:val="29"/>
        </w:rPr>
      </w:pPr>
    </w:p>
    <w:p w14:paraId="39A458AB" w14:textId="77777777" w:rsidR="00AE3E37" w:rsidRDefault="00A9710C" w:rsidP="000534A1">
      <w:pPr>
        <w:spacing w:before="39"/>
        <w:ind w:left="100"/>
        <w:rPr>
          <w:rFonts w:ascii="Minion Pro"/>
          <w:b/>
          <w:sz w:val="20"/>
        </w:rPr>
      </w:pPr>
      <w:r w:rsidRPr="00B21A57">
        <w:rPr>
          <w:rFonts w:ascii="Minion Pro"/>
          <w:b/>
          <w:sz w:val="20"/>
        </w:rPr>
        <w:t>Notes/Comments:</w:t>
      </w:r>
    </w:p>
    <w:p w14:paraId="70EA5808" w14:textId="77777777" w:rsidR="00EA7D51" w:rsidRDefault="00EA7D51" w:rsidP="000534A1">
      <w:pPr>
        <w:spacing w:before="39"/>
        <w:ind w:left="100"/>
        <w:rPr>
          <w:rFonts w:ascii="Minion Pro"/>
          <w:b/>
          <w:sz w:val="20"/>
        </w:rPr>
      </w:pPr>
    </w:p>
    <w:p w14:paraId="694028C9" w14:textId="77777777" w:rsidR="00EA7D51" w:rsidRDefault="00EA7D51" w:rsidP="000534A1">
      <w:pPr>
        <w:spacing w:before="39"/>
        <w:ind w:left="100"/>
        <w:rPr>
          <w:rFonts w:ascii="Minion Pro"/>
          <w:b/>
          <w:sz w:val="20"/>
        </w:rPr>
      </w:pPr>
    </w:p>
    <w:p w14:paraId="5D6986DA" w14:textId="77777777" w:rsidR="00EA7D51" w:rsidRPr="00F35A62" w:rsidRDefault="00EA7D51" w:rsidP="00152977">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52977">
        <w:rPr>
          <w:sz w:val="20"/>
          <w:szCs w:val="20"/>
          <w:lang w:val="en-NZ"/>
        </w:rPr>
        <w:t>Eman Gamal Helal</w:t>
      </w:r>
      <w:r w:rsidRPr="00F35A62">
        <w:rPr>
          <w:sz w:val="20"/>
          <w:szCs w:val="20"/>
          <w:lang w:val="en-NZ"/>
        </w:rPr>
        <w:br/>
        <w:t>Contact number:</w:t>
      </w:r>
      <w:r w:rsidR="00152977">
        <w:rPr>
          <w:sz w:val="20"/>
          <w:szCs w:val="20"/>
          <w:lang w:val="en-NZ"/>
        </w:rPr>
        <w:t>01005127947</w:t>
      </w:r>
    </w:p>
    <w:p w14:paraId="34673F40" w14:textId="77777777" w:rsidR="00EA7D51" w:rsidRPr="00F35A62" w:rsidRDefault="00EA7D51" w:rsidP="00152977">
      <w:pPr>
        <w:autoSpaceDE w:val="0"/>
        <w:autoSpaceDN w:val="0"/>
        <w:adjustRightInd w:val="0"/>
        <w:rPr>
          <w:sz w:val="20"/>
          <w:szCs w:val="20"/>
          <w:lang w:val="en-NZ"/>
        </w:rPr>
      </w:pPr>
      <w:r w:rsidRPr="00F35A62">
        <w:rPr>
          <w:sz w:val="20"/>
          <w:szCs w:val="20"/>
          <w:lang w:val="en-NZ"/>
        </w:rPr>
        <w:br/>
        <w:t>Category: (Oral presentation)</w:t>
      </w:r>
      <w:r w:rsidRPr="00F35A62">
        <w:rPr>
          <w:sz w:val="20"/>
          <w:szCs w:val="20"/>
          <w:lang w:val="en-NZ"/>
        </w:rPr>
        <w:br/>
      </w:r>
    </w:p>
    <w:p w14:paraId="77F23CDC"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2315B01F"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F2F8B" w14:textId="77777777" w:rsidR="00A15E96" w:rsidRDefault="00A15E96">
      <w:r>
        <w:separator/>
      </w:r>
    </w:p>
  </w:endnote>
  <w:endnote w:type="continuationSeparator" w:id="0">
    <w:p w14:paraId="1270DE85" w14:textId="77777777" w:rsidR="00A15E96" w:rsidRDefault="00A15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2D8D1"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5ECDE742" wp14:editId="1C2DB43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7076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03B4E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DE742"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7497076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03B4E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206717F1" wp14:editId="2E0E455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2E84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25660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717F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DD2E84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25660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74876E80" wp14:editId="0AA7186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E66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EBD4EE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76E80"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544E66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EBD4EE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8A84B" w14:textId="77777777" w:rsidR="00A15E96" w:rsidRDefault="00A15E96">
      <w:r>
        <w:separator/>
      </w:r>
    </w:p>
  </w:footnote>
  <w:footnote w:type="continuationSeparator" w:id="0">
    <w:p w14:paraId="13471B3C" w14:textId="77777777" w:rsidR="00A15E96" w:rsidRDefault="00A15E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585387874">
    <w:abstractNumId w:val="0"/>
  </w:num>
  <w:num w:numId="2" w16cid:durableId="1998411057">
    <w:abstractNumId w:val="1"/>
  </w:num>
  <w:num w:numId="3" w16cid:durableId="445078707">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97452"/>
    <w:rsid w:val="000B4CAA"/>
    <w:rsid w:val="000E2911"/>
    <w:rsid w:val="001263DF"/>
    <w:rsid w:val="00152977"/>
    <w:rsid w:val="001F0689"/>
    <w:rsid w:val="00292ED9"/>
    <w:rsid w:val="00351D9B"/>
    <w:rsid w:val="00380299"/>
    <w:rsid w:val="00404E5B"/>
    <w:rsid w:val="00414F7B"/>
    <w:rsid w:val="00423A0F"/>
    <w:rsid w:val="004355DC"/>
    <w:rsid w:val="004749B4"/>
    <w:rsid w:val="00475D20"/>
    <w:rsid w:val="00494130"/>
    <w:rsid w:val="004F3523"/>
    <w:rsid w:val="00590D60"/>
    <w:rsid w:val="005973B9"/>
    <w:rsid w:val="005B3A56"/>
    <w:rsid w:val="006060CE"/>
    <w:rsid w:val="0061505C"/>
    <w:rsid w:val="0063497F"/>
    <w:rsid w:val="0063793F"/>
    <w:rsid w:val="00714354"/>
    <w:rsid w:val="00873DF0"/>
    <w:rsid w:val="008756E6"/>
    <w:rsid w:val="00886FE3"/>
    <w:rsid w:val="00897EC5"/>
    <w:rsid w:val="008A0763"/>
    <w:rsid w:val="008E5477"/>
    <w:rsid w:val="009A732C"/>
    <w:rsid w:val="009B2D44"/>
    <w:rsid w:val="00A07E82"/>
    <w:rsid w:val="00A15E96"/>
    <w:rsid w:val="00A2009D"/>
    <w:rsid w:val="00A52075"/>
    <w:rsid w:val="00A8429F"/>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9381F"/>
  <w15:docId w15:val="{706AC5A8-15CD-415D-A953-928E17D63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599</Words>
  <Characters>3691</Characters>
  <Application>Microsoft Office Word</Application>
  <DocSecurity>0</DocSecurity>
  <Lines>108</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renewablesenergy</cp:lastModifiedBy>
  <cp:revision>7</cp:revision>
  <dcterms:created xsi:type="dcterms:W3CDTF">2022-10-15T20:14:00Z</dcterms:created>
  <dcterms:modified xsi:type="dcterms:W3CDTF">2022-10-18T05:25:00Z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b03741d50a8905cd76011f51b38ed65fb6645c0618dbf1f062c7d8e70750a6e2</vt:lpwstr>
  </property>
</Properties>
</file>