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448" w:rsidRDefault="00EC1448" w:rsidP="00EC1448">
      <w:pPr>
        <w:autoSpaceDE w:val="0"/>
        <w:autoSpaceDN w:val="0"/>
        <w:adjustRightInd w:val="0"/>
        <w:spacing w:line="360" w:lineRule="auto"/>
        <w:rPr>
          <w:rFonts w:ascii="Times New Roman" w:hAnsi="Times New Roman"/>
          <w:b/>
          <w:bCs/>
          <w:sz w:val="32"/>
          <w:szCs w:val="28"/>
        </w:rPr>
      </w:pPr>
      <w:r w:rsidRPr="00EC1448">
        <w:rPr>
          <w:rFonts w:ascii="Times New Roman" w:hAnsi="Times New Roman"/>
          <w:bCs/>
          <w:sz w:val="32"/>
          <w:szCs w:val="28"/>
        </w:rPr>
        <w:t>Assess Quality of Website: The Case of Tour Operating Firms’ in Ethiopia</w:t>
      </w:r>
      <w:r w:rsidRPr="00EC1448">
        <w:rPr>
          <w:rFonts w:ascii="Times New Roman" w:hAnsi="Times New Roman"/>
          <w:b/>
          <w:bCs/>
          <w:sz w:val="32"/>
          <w:szCs w:val="28"/>
        </w:rPr>
        <w:t>.</w:t>
      </w:r>
    </w:p>
    <w:p w:rsidR="00EC1448" w:rsidRDefault="00EC1448" w:rsidP="00EC1448">
      <w:pPr>
        <w:autoSpaceDE w:val="0"/>
        <w:autoSpaceDN w:val="0"/>
        <w:adjustRightInd w:val="0"/>
        <w:spacing w:line="360" w:lineRule="auto"/>
        <w:rPr>
          <w:rFonts w:ascii="Times New Roman" w:hAnsi="Times New Roman"/>
          <w:bCs/>
          <w:sz w:val="22"/>
          <w:szCs w:val="22"/>
        </w:rPr>
      </w:pPr>
      <w:r w:rsidRPr="00EC1448">
        <w:rPr>
          <w:rFonts w:ascii="Times New Roman" w:hAnsi="Times New Roman"/>
          <w:bCs/>
          <w:sz w:val="24"/>
          <w:szCs w:val="28"/>
        </w:rPr>
        <w:t>Tarik</w:t>
      </w:r>
      <w:r>
        <w:rPr>
          <w:rFonts w:ascii="Times New Roman" w:hAnsi="Times New Roman"/>
          <w:bCs/>
          <w:sz w:val="24"/>
          <w:szCs w:val="28"/>
        </w:rPr>
        <w:br/>
      </w:r>
      <w:r w:rsidRPr="00EC1448">
        <w:rPr>
          <w:rFonts w:ascii="Times New Roman" w:hAnsi="Times New Roman"/>
          <w:bCs/>
          <w:sz w:val="22"/>
          <w:szCs w:val="22"/>
        </w:rPr>
        <w:t>Ethiopia</w:t>
      </w:r>
    </w:p>
    <w:p w:rsidR="00EC1448" w:rsidRPr="00EC1448" w:rsidRDefault="00EC1448" w:rsidP="00EC1448">
      <w:pPr>
        <w:autoSpaceDE w:val="0"/>
        <w:autoSpaceDN w:val="0"/>
        <w:adjustRightInd w:val="0"/>
        <w:spacing w:line="360" w:lineRule="auto"/>
        <w:jc w:val="center"/>
        <w:rPr>
          <w:rFonts w:ascii="Times New Roman" w:hAnsi="Times New Roman" w:cs="Times New Roman"/>
          <w:b/>
          <w:lang w:bidi="en-US"/>
        </w:rPr>
      </w:pPr>
      <w:r>
        <w:rPr>
          <w:rFonts w:ascii="Times New Roman" w:hAnsi="Times New Roman"/>
          <w:bCs/>
          <w:sz w:val="24"/>
          <w:szCs w:val="28"/>
        </w:rPr>
        <w:br/>
      </w:r>
      <w:bookmarkStart w:id="0" w:name="_Toc134620470"/>
      <w:r w:rsidRPr="00EC1448">
        <w:rPr>
          <w:rFonts w:ascii="Times New Roman" w:hAnsi="Times New Roman" w:cs="Times New Roman"/>
          <w:b/>
          <w:sz w:val="24"/>
          <w:lang w:bidi="en-US"/>
        </w:rPr>
        <w:t>A</w:t>
      </w:r>
      <w:bookmarkEnd w:id="0"/>
      <w:r w:rsidRPr="00EC1448">
        <w:rPr>
          <w:rFonts w:ascii="Times New Roman" w:hAnsi="Times New Roman" w:cs="Times New Roman"/>
          <w:b/>
          <w:sz w:val="24"/>
          <w:lang w:bidi="en-US"/>
        </w:rPr>
        <w:t>bstract (300 word limit)</w:t>
      </w:r>
    </w:p>
    <w:p w:rsidR="00EC1448" w:rsidRDefault="00EC1448" w:rsidP="00EC1448">
      <w:pPr>
        <w:pStyle w:val="BodyText"/>
        <w:jc w:val="both"/>
        <w:rPr>
          <w:rFonts w:ascii="Times New Roman" w:hAnsi="Times New Roman" w:cs="Times New Roman"/>
          <w:szCs w:val="24"/>
          <w:lang w:bidi="en-US"/>
        </w:rPr>
      </w:pPr>
      <w:r>
        <w:rPr>
          <w:lang w:bidi="en-US"/>
        </w:rPr>
        <w:br/>
      </w:r>
      <w:r w:rsidRPr="00EC1448">
        <w:rPr>
          <w:rFonts w:ascii="Times New Roman" w:hAnsi="Times New Roman" w:cs="Times New Roman"/>
          <w:b/>
          <w:lang w:bidi="en-US"/>
        </w:rPr>
        <w:t>Statement of the problem</w:t>
      </w:r>
      <w:r>
        <w:rPr>
          <w:rFonts w:ascii="Times New Roman" w:hAnsi="Times New Roman" w:cs="Times New Roman"/>
          <w:lang w:bidi="en-US"/>
        </w:rPr>
        <w:t xml:space="preserve">: </w:t>
      </w:r>
      <w:r w:rsidRPr="00EC1448">
        <w:rPr>
          <w:rFonts w:ascii="Times New Roman" w:hAnsi="Times New Roman" w:cs="Times New Roman"/>
          <w:lang w:bidi="en-US"/>
        </w:rPr>
        <w:t xml:space="preserve">Websites of tour operating firms’ relating to quality need to be attractive and must carry their quality by WQI parameters. However, there is hardly any prior study that has investigated the website quality of tourism sector in Ethiopia. This study aims at evaluating the website quality of tour operating firms in particular. </w:t>
      </w:r>
      <w:r w:rsidRPr="00EC1448">
        <w:rPr>
          <w:rFonts w:ascii="Times New Roman" w:hAnsi="Times New Roman" w:cs="Times New Roman"/>
          <w:szCs w:val="24"/>
          <w:lang w:bidi="en-US"/>
        </w:rPr>
        <w:t xml:space="preserve">From the total of 480 tours operating firms accredited by MoCT, only 175 firms’ have active websites. Hence, the list of these 175 firms served as a sample framework and a census sampling method was used in this study due to its manageable size. The study evaluates websites with an inclusive set of criteria, based on Web Quality Index. The Modified WQI comprises a total of four aspects, 12 parameter subject areas, 60 items based on contributions from experts in each of the item to work, and measure the quality of websites. The website of these 175 firms was rated by three ICT experts at a six-point scale for the five items developed under each dimension. Then, the average rating score of the three experts was considered in the website assessment of the tour operating firms. Before data analyses, validity and reliability tests were conducted. The mean score of the valid and reliable items under each dimension was computed. </w:t>
      </w:r>
    </w:p>
    <w:p w:rsidR="00EC1448" w:rsidRDefault="00EC1448" w:rsidP="00EC1448">
      <w:pPr>
        <w:pStyle w:val="BodyText"/>
        <w:jc w:val="both"/>
        <w:rPr>
          <w:rFonts w:ascii="Times New Roman" w:hAnsi="Times New Roman" w:cs="Times New Roman"/>
          <w:szCs w:val="24"/>
        </w:rPr>
      </w:pPr>
      <w:r w:rsidRPr="00EC1448">
        <w:rPr>
          <w:rFonts w:ascii="Times New Roman" w:hAnsi="Times New Roman" w:cs="Times New Roman"/>
          <w:b/>
          <w:szCs w:val="24"/>
          <w:lang w:bidi="en-US"/>
        </w:rPr>
        <w:t>Theoretical orientations</w:t>
      </w:r>
      <w:r>
        <w:rPr>
          <w:rFonts w:ascii="Times New Roman" w:hAnsi="Times New Roman" w:cs="Times New Roman"/>
          <w:szCs w:val="24"/>
          <w:lang w:bidi="en-US"/>
        </w:rPr>
        <w:t xml:space="preserve">: </w:t>
      </w:r>
      <w:r w:rsidRPr="00EC1448">
        <w:rPr>
          <w:rFonts w:ascii="Times New Roman" w:hAnsi="Times New Roman" w:cs="Times New Roman"/>
          <w:szCs w:val="24"/>
          <w:lang w:bidi="en-US"/>
        </w:rPr>
        <w:t xml:space="preserve">The findings show that the website of tour operating firms scored high on the usability and accessibility dimension (3.8317 mean out of five), while the score is low on the language aspect (1.6510 mean out of five). The rating scores under each of the 12 dimensions is thoroughly presented and discussed. </w:t>
      </w:r>
      <w:r w:rsidRPr="00EC1448">
        <w:rPr>
          <w:rFonts w:ascii="Times New Roman" w:hAnsi="Times New Roman" w:cs="Times New Roman"/>
          <w:szCs w:val="24"/>
        </w:rPr>
        <w:t>Overall quality of tour operating firms’ website included in the study has a generally below average which is sufficient quality (2.6485 means).</w:t>
      </w:r>
    </w:p>
    <w:p w:rsidR="00C24F76" w:rsidRPr="00C24F76" w:rsidRDefault="00EC1448" w:rsidP="009D2844">
      <w:pPr>
        <w:pStyle w:val="BodyText"/>
        <w:rPr>
          <w:rFonts w:ascii="Times New Roman" w:hAnsi="Times New Roman" w:cs="Times New Roman"/>
          <w:szCs w:val="24"/>
          <w:lang w:bidi="en-US"/>
        </w:rPr>
      </w:pPr>
      <w:r w:rsidRPr="00EC1448">
        <w:rPr>
          <w:rFonts w:ascii="Times New Roman" w:hAnsi="Times New Roman" w:cs="Times New Roman"/>
          <w:b/>
          <w:szCs w:val="24"/>
        </w:rPr>
        <w:t>Conclusion</w:t>
      </w:r>
      <w:r>
        <w:rPr>
          <w:rFonts w:ascii="Times New Roman" w:hAnsi="Times New Roman" w:cs="Times New Roman"/>
          <w:szCs w:val="24"/>
        </w:rPr>
        <w:t xml:space="preserve">: </w:t>
      </w:r>
      <w:r w:rsidRPr="00EC1448">
        <w:rPr>
          <w:rFonts w:ascii="Times New Roman" w:hAnsi="Times New Roman" w:cs="Times New Roman"/>
          <w:szCs w:val="24"/>
        </w:rPr>
        <w:t xml:space="preserve">This study concludes that the websites of tour operating firms should be updated and improved based on WQI. </w:t>
      </w:r>
      <w:r w:rsidRPr="00EC1448">
        <w:rPr>
          <w:rFonts w:ascii="Times New Roman" w:hAnsi="Times New Roman" w:cs="Times New Roman"/>
          <w:szCs w:val="24"/>
          <w:lang w:bidi="en-US"/>
        </w:rPr>
        <w:t>It is recommended that the tour operating firms should strive to make their websites more attractive and friendly use by adding features that support decision making at different stages of travel which would enhance website quality.</w:t>
      </w:r>
    </w:p>
    <w:p w:rsidR="00C24F76" w:rsidRPr="009D2844" w:rsidRDefault="00C24F76" w:rsidP="00C24F76">
      <w:pPr>
        <w:pStyle w:val="Heading1"/>
        <w:ind w:left="0" w:firstLine="0"/>
        <w:jc w:val="both"/>
        <w:rPr>
          <w:sz w:val="24"/>
        </w:rPr>
      </w:pPr>
      <w:r w:rsidRPr="009D2844">
        <w:rPr>
          <w:sz w:val="24"/>
        </w:rPr>
        <w:t>References</w:t>
      </w:r>
    </w:p>
    <w:p w:rsidR="00C24F76" w:rsidRDefault="00C24F76" w:rsidP="00C24F76">
      <w:pPr>
        <w:pStyle w:val="ListParagraph"/>
        <w:numPr>
          <w:ilvl w:val="0"/>
          <w:numId w:val="1"/>
        </w:numPr>
        <w:autoSpaceDE w:val="0"/>
        <w:autoSpaceDN w:val="0"/>
        <w:adjustRightInd w:val="0"/>
        <w:spacing w:line="360" w:lineRule="auto"/>
        <w:jc w:val="both"/>
        <w:rPr>
          <w:rFonts w:ascii="Times New Roman" w:eastAsia="AdvTimes" w:hAnsi="Times New Roman" w:cs="Times New Roman"/>
          <w:szCs w:val="24"/>
        </w:rPr>
      </w:pPr>
      <w:proofErr w:type="spellStart"/>
      <w:r w:rsidRPr="00C24F76">
        <w:rPr>
          <w:rFonts w:ascii="Times New Roman" w:eastAsia="AdvTimes" w:hAnsi="Times New Roman" w:cs="Times New Roman"/>
          <w:szCs w:val="24"/>
        </w:rPr>
        <w:t>Abanumy</w:t>
      </w:r>
      <w:proofErr w:type="spellEnd"/>
      <w:r w:rsidRPr="00C24F76">
        <w:rPr>
          <w:rFonts w:ascii="Times New Roman" w:eastAsia="AdvTimes" w:hAnsi="Times New Roman" w:cs="Times New Roman"/>
          <w:szCs w:val="24"/>
        </w:rPr>
        <w:t>, A., Al-</w:t>
      </w:r>
      <w:proofErr w:type="spellStart"/>
      <w:r w:rsidRPr="00C24F76">
        <w:rPr>
          <w:rFonts w:ascii="Times New Roman" w:eastAsia="AdvTimes" w:hAnsi="Times New Roman" w:cs="Times New Roman"/>
          <w:szCs w:val="24"/>
        </w:rPr>
        <w:t>Badi</w:t>
      </w:r>
      <w:proofErr w:type="spellEnd"/>
      <w:r w:rsidRPr="00C24F76">
        <w:rPr>
          <w:rFonts w:ascii="Times New Roman" w:eastAsia="AdvTimes" w:hAnsi="Times New Roman" w:cs="Times New Roman"/>
          <w:szCs w:val="24"/>
        </w:rPr>
        <w:t>, A., Mayhew, P., E-Government Website Accessibility: In-Depth Evaluation of Saudi Arabia and Oman. Electronic Journal of E-Government</w:t>
      </w:r>
      <w:r w:rsidRPr="00C24F76">
        <w:rPr>
          <w:rFonts w:ascii="Times New Roman" w:eastAsia="AdvTimes" w:hAnsi="Times New Roman" w:cs="Times New Roman"/>
          <w:i/>
          <w:szCs w:val="24"/>
        </w:rPr>
        <w:t>,</w:t>
      </w:r>
      <w:r w:rsidRPr="00C24F76">
        <w:rPr>
          <w:rFonts w:ascii="Times New Roman" w:eastAsia="AdvTimes" w:hAnsi="Times New Roman" w:cs="Times New Roman"/>
          <w:szCs w:val="24"/>
        </w:rPr>
        <w:t xml:space="preserve"> </w:t>
      </w:r>
      <w:r>
        <w:rPr>
          <w:rFonts w:ascii="Times New Roman" w:eastAsia="AdvTimes" w:hAnsi="Times New Roman" w:cs="Times New Roman"/>
          <w:szCs w:val="24"/>
        </w:rPr>
        <w:t xml:space="preserve">2007; </w:t>
      </w:r>
      <w:r w:rsidRPr="00C24F76">
        <w:rPr>
          <w:rFonts w:ascii="Times New Roman" w:eastAsia="AdvTimes" w:hAnsi="Times New Roman" w:cs="Times New Roman"/>
          <w:szCs w:val="24"/>
        </w:rPr>
        <w:t>(3), pp. 99–106.</w:t>
      </w:r>
    </w:p>
    <w:p w:rsidR="00C24F76" w:rsidRPr="00C24F76" w:rsidRDefault="00C24F76" w:rsidP="00C24F76">
      <w:pPr>
        <w:pStyle w:val="ListParagraph"/>
        <w:numPr>
          <w:ilvl w:val="0"/>
          <w:numId w:val="1"/>
        </w:numPr>
        <w:tabs>
          <w:tab w:val="left" w:pos="810"/>
        </w:tabs>
        <w:spacing w:line="360" w:lineRule="auto"/>
        <w:jc w:val="both"/>
        <w:rPr>
          <w:rFonts w:ascii="Times New Roman" w:hAnsi="Times New Roman"/>
          <w:i/>
          <w:sz w:val="24"/>
          <w:szCs w:val="24"/>
        </w:rPr>
      </w:pPr>
      <w:proofErr w:type="spellStart"/>
      <w:r>
        <w:rPr>
          <w:rFonts w:ascii="Times New Roman" w:eastAsia="AdvTimes" w:hAnsi="Times New Roman"/>
          <w:sz w:val="24"/>
          <w:szCs w:val="24"/>
        </w:rPr>
        <w:t>Achour</w:t>
      </w:r>
      <w:proofErr w:type="spellEnd"/>
      <w:r>
        <w:rPr>
          <w:rFonts w:ascii="Times New Roman" w:eastAsia="AdvTimes" w:hAnsi="Times New Roman"/>
          <w:sz w:val="24"/>
          <w:szCs w:val="24"/>
        </w:rPr>
        <w:t xml:space="preserve">, H., </w:t>
      </w:r>
      <w:proofErr w:type="spellStart"/>
      <w:r>
        <w:rPr>
          <w:rFonts w:ascii="Times New Roman" w:eastAsia="AdvTimes" w:hAnsi="Times New Roman"/>
          <w:sz w:val="24"/>
          <w:szCs w:val="24"/>
        </w:rPr>
        <w:t>Bensedrine</w:t>
      </w:r>
      <w:proofErr w:type="spellEnd"/>
      <w:r>
        <w:rPr>
          <w:rFonts w:ascii="Times New Roman" w:eastAsia="AdvTimes" w:hAnsi="Times New Roman"/>
          <w:sz w:val="24"/>
          <w:szCs w:val="24"/>
        </w:rPr>
        <w:t xml:space="preserve">, N., </w:t>
      </w:r>
      <w:proofErr w:type="gramStart"/>
      <w:r w:rsidRPr="00C24F76">
        <w:rPr>
          <w:rFonts w:ascii="Times New Roman" w:eastAsia="AdvTimes" w:hAnsi="Times New Roman"/>
          <w:sz w:val="24"/>
          <w:szCs w:val="24"/>
        </w:rPr>
        <w:t>An</w:t>
      </w:r>
      <w:proofErr w:type="gramEnd"/>
      <w:r w:rsidRPr="00C24F76">
        <w:rPr>
          <w:rFonts w:ascii="Times New Roman" w:eastAsia="AdvTimes" w:hAnsi="Times New Roman"/>
          <w:sz w:val="24"/>
          <w:szCs w:val="24"/>
        </w:rPr>
        <w:t xml:space="preserve"> Evaluation of Internet Banking and Online Brokerage in Tunisia. In: Proceedings of the First International Conference on E-Business and E-Learning (EBEL), Amman, Jordan</w:t>
      </w:r>
      <w:r>
        <w:rPr>
          <w:rFonts w:ascii="Times New Roman" w:eastAsia="AdvTimes" w:hAnsi="Times New Roman"/>
          <w:sz w:val="24"/>
          <w:szCs w:val="24"/>
        </w:rPr>
        <w:t>, 2005;</w:t>
      </w:r>
      <w:r w:rsidRPr="00C24F76">
        <w:rPr>
          <w:rFonts w:ascii="Times New Roman" w:eastAsia="AdvTimes" w:hAnsi="Times New Roman"/>
          <w:sz w:val="24"/>
          <w:szCs w:val="24"/>
        </w:rPr>
        <w:t xml:space="preserve"> pp. 147–158.</w:t>
      </w:r>
    </w:p>
    <w:p w:rsidR="00C24F76" w:rsidRPr="00C24F76" w:rsidRDefault="00C24F76" w:rsidP="00C24F76">
      <w:pPr>
        <w:pStyle w:val="ListParagraph"/>
        <w:numPr>
          <w:ilvl w:val="0"/>
          <w:numId w:val="1"/>
        </w:numPr>
        <w:tabs>
          <w:tab w:val="left" w:pos="810"/>
        </w:tabs>
        <w:spacing w:line="360" w:lineRule="auto"/>
        <w:jc w:val="both"/>
        <w:rPr>
          <w:rFonts w:ascii="Times New Roman" w:hAnsi="Times New Roman"/>
          <w:i/>
          <w:sz w:val="24"/>
          <w:szCs w:val="24"/>
        </w:rPr>
      </w:pPr>
      <w:r w:rsidRPr="00C24F76">
        <w:rPr>
          <w:rFonts w:ascii="Times New Roman" w:hAnsi="Times New Roman"/>
          <w:sz w:val="24"/>
          <w:szCs w:val="24"/>
        </w:rPr>
        <w:t xml:space="preserve">Baggio, R., </w:t>
      </w:r>
      <w:proofErr w:type="spellStart"/>
      <w:r w:rsidR="009D2844">
        <w:rPr>
          <w:rFonts w:ascii="Times New Roman" w:hAnsi="Times New Roman"/>
          <w:sz w:val="24"/>
          <w:szCs w:val="24"/>
        </w:rPr>
        <w:t>Mottironi</w:t>
      </w:r>
      <w:proofErr w:type="spellEnd"/>
      <w:r w:rsidR="009D2844">
        <w:rPr>
          <w:rFonts w:ascii="Times New Roman" w:hAnsi="Times New Roman"/>
          <w:sz w:val="24"/>
          <w:szCs w:val="24"/>
        </w:rPr>
        <w:t xml:space="preserve">, C., </w:t>
      </w:r>
      <w:proofErr w:type="spellStart"/>
      <w:r w:rsidR="009D2844">
        <w:rPr>
          <w:rFonts w:ascii="Times New Roman" w:hAnsi="Times New Roman"/>
          <w:sz w:val="24"/>
          <w:szCs w:val="24"/>
        </w:rPr>
        <w:t>Antonioli</w:t>
      </w:r>
      <w:proofErr w:type="spellEnd"/>
      <w:r w:rsidR="009D2844">
        <w:rPr>
          <w:rFonts w:ascii="Times New Roman" w:hAnsi="Times New Roman"/>
          <w:sz w:val="24"/>
          <w:szCs w:val="24"/>
        </w:rPr>
        <w:t xml:space="preserve"> C. M., </w:t>
      </w:r>
      <w:r w:rsidRPr="009D2844">
        <w:rPr>
          <w:rFonts w:ascii="Times New Roman" w:hAnsi="Times New Roman"/>
          <w:sz w:val="24"/>
          <w:szCs w:val="24"/>
        </w:rPr>
        <w:t>Journal of Hospitality and Tourism Technology, 2</w:t>
      </w:r>
      <w:r w:rsidR="009D2844">
        <w:rPr>
          <w:rFonts w:ascii="Times New Roman" w:hAnsi="Times New Roman"/>
          <w:i/>
          <w:sz w:val="24"/>
          <w:szCs w:val="24"/>
        </w:rPr>
        <w:t xml:space="preserve"> </w:t>
      </w:r>
      <w:r w:rsidR="009D2844" w:rsidRPr="009D2844">
        <w:rPr>
          <w:rFonts w:ascii="Times New Roman" w:hAnsi="Times New Roman"/>
          <w:sz w:val="24"/>
          <w:szCs w:val="24"/>
        </w:rPr>
        <w:t>2011</w:t>
      </w:r>
      <w:r w:rsidR="009D2844">
        <w:rPr>
          <w:rFonts w:ascii="Times New Roman" w:hAnsi="Times New Roman"/>
          <w:i/>
          <w:sz w:val="24"/>
          <w:szCs w:val="24"/>
        </w:rPr>
        <w:t>;</w:t>
      </w:r>
      <w:r w:rsidRPr="00C24F76">
        <w:rPr>
          <w:rFonts w:ascii="Times New Roman" w:hAnsi="Times New Roman"/>
          <w:i/>
          <w:sz w:val="24"/>
          <w:szCs w:val="24"/>
        </w:rPr>
        <w:t xml:space="preserve"> </w:t>
      </w:r>
      <w:r w:rsidR="009D2844">
        <w:rPr>
          <w:rFonts w:ascii="Times New Roman" w:hAnsi="Times New Roman"/>
          <w:sz w:val="24"/>
          <w:szCs w:val="24"/>
        </w:rPr>
        <w:t>(2):</w:t>
      </w:r>
      <w:r w:rsidRPr="00C24F76">
        <w:rPr>
          <w:rFonts w:ascii="Times New Roman" w:hAnsi="Times New Roman"/>
          <w:sz w:val="24"/>
          <w:szCs w:val="24"/>
        </w:rPr>
        <w:t xml:space="preserve"> Pp. 96-104. </w:t>
      </w:r>
    </w:p>
    <w:p w:rsidR="00C24F76" w:rsidRPr="009D2844" w:rsidRDefault="009D2844" w:rsidP="009D2844">
      <w:pPr>
        <w:pStyle w:val="ListParagraph"/>
        <w:numPr>
          <w:ilvl w:val="0"/>
          <w:numId w:val="1"/>
        </w:numPr>
        <w:tabs>
          <w:tab w:val="left" w:pos="810"/>
        </w:tabs>
        <w:spacing w:line="360" w:lineRule="auto"/>
        <w:jc w:val="both"/>
        <w:rPr>
          <w:rFonts w:ascii="Times New Roman" w:hAnsi="Times New Roman"/>
          <w:sz w:val="24"/>
          <w:szCs w:val="24"/>
        </w:rPr>
      </w:pPr>
      <w:r>
        <w:rPr>
          <w:rFonts w:ascii="Times New Roman" w:hAnsi="Times New Roman"/>
          <w:sz w:val="24"/>
          <w:szCs w:val="24"/>
        </w:rPr>
        <w:t xml:space="preserve">Bai, B., Law, R. &amp; Wen, I., </w:t>
      </w:r>
      <w:r w:rsidR="00C24F76" w:rsidRPr="009D2844">
        <w:rPr>
          <w:rFonts w:ascii="Times New Roman" w:hAnsi="Times New Roman"/>
          <w:iCs/>
          <w:sz w:val="24"/>
          <w:szCs w:val="24"/>
        </w:rPr>
        <w:t>International Journal of Tourism Management 27</w:t>
      </w:r>
      <w:r>
        <w:rPr>
          <w:rFonts w:ascii="Times New Roman" w:hAnsi="Times New Roman"/>
          <w:sz w:val="24"/>
          <w:szCs w:val="24"/>
        </w:rPr>
        <w:t xml:space="preserve"> 2008;(3): </w:t>
      </w:r>
      <w:r w:rsidR="00C24F76" w:rsidRPr="009D2844">
        <w:rPr>
          <w:rFonts w:ascii="Times New Roman" w:hAnsi="Times New Roman"/>
          <w:sz w:val="24"/>
          <w:szCs w:val="24"/>
        </w:rPr>
        <w:t>Pp. 391–402</w:t>
      </w:r>
    </w:p>
    <w:p w:rsidR="00C24F76" w:rsidRPr="009D2844" w:rsidRDefault="00C24F76" w:rsidP="009D2844">
      <w:pPr>
        <w:pStyle w:val="ListParagraph"/>
        <w:numPr>
          <w:ilvl w:val="0"/>
          <w:numId w:val="1"/>
        </w:numPr>
        <w:tabs>
          <w:tab w:val="left" w:pos="810"/>
        </w:tabs>
        <w:spacing w:line="360" w:lineRule="auto"/>
        <w:jc w:val="both"/>
        <w:rPr>
          <w:rFonts w:ascii="Times New Roman" w:hAnsi="Times New Roman"/>
          <w:i/>
          <w:sz w:val="24"/>
          <w:szCs w:val="24"/>
        </w:rPr>
      </w:pPr>
      <w:proofErr w:type="spellStart"/>
      <w:r w:rsidRPr="009D2844">
        <w:rPr>
          <w:rFonts w:ascii="Times New Roman" w:hAnsi="Times New Roman"/>
          <w:sz w:val="24"/>
          <w:szCs w:val="24"/>
        </w:rPr>
        <w:t>Bar</w:t>
      </w:r>
      <w:r w:rsidR="009D2844">
        <w:rPr>
          <w:rFonts w:ascii="Times New Roman" w:hAnsi="Times New Roman"/>
          <w:sz w:val="24"/>
          <w:szCs w:val="24"/>
        </w:rPr>
        <w:t>wise</w:t>
      </w:r>
      <w:proofErr w:type="spellEnd"/>
      <w:r w:rsidR="009D2844">
        <w:rPr>
          <w:rFonts w:ascii="Times New Roman" w:hAnsi="Times New Roman"/>
          <w:sz w:val="24"/>
          <w:szCs w:val="24"/>
        </w:rPr>
        <w:t xml:space="preserve"> P., C. Strong., </w:t>
      </w:r>
      <w:r w:rsidRPr="009D2844">
        <w:rPr>
          <w:rFonts w:ascii="Times New Roman" w:hAnsi="Times New Roman"/>
          <w:sz w:val="24"/>
          <w:szCs w:val="24"/>
        </w:rPr>
        <w:t>International Journal of Interactive Marketing, 16</w:t>
      </w:r>
      <w:r w:rsidR="009D2844">
        <w:rPr>
          <w:rFonts w:ascii="Times New Roman" w:hAnsi="Times New Roman"/>
          <w:sz w:val="24"/>
          <w:szCs w:val="24"/>
        </w:rPr>
        <w:t xml:space="preserve"> 2002; (1):</w:t>
      </w:r>
      <w:r w:rsidRPr="009D2844">
        <w:rPr>
          <w:rFonts w:ascii="Times New Roman" w:hAnsi="Times New Roman"/>
          <w:sz w:val="24"/>
          <w:szCs w:val="24"/>
        </w:rPr>
        <w:t xml:space="preserve"> Pp. 14–24. </w:t>
      </w:r>
    </w:p>
    <w:p w:rsidR="00770CF4" w:rsidRPr="009D2844" w:rsidRDefault="00770CF4">
      <w:pPr>
        <w:rPr>
          <w:b/>
        </w:rPr>
      </w:pPr>
      <w:bookmarkStart w:id="1" w:name="_GoBack"/>
      <w:bookmarkEnd w:id="1"/>
    </w:p>
    <w:sectPr w:rsidR="00770CF4" w:rsidRPr="009D28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Times">
    <w:altName w:val="Arial Unicode MS"/>
    <w:panose1 w:val="00000000000000000000"/>
    <w:charset w:val="81"/>
    <w:family w:val="auto"/>
    <w:notTrueType/>
    <w:pitch w:val="default"/>
    <w:sig w:usb0="00000003" w:usb1="09070000" w:usb2="00000010" w:usb3="00000000" w:csb0="000A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7E4669"/>
    <w:multiLevelType w:val="hybridMultilevel"/>
    <w:tmpl w:val="53F65B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48"/>
    <w:rsid w:val="00770CF4"/>
    <w:rsid w:val="009D2844"/>
    <w:rsid w:val="00AE6316"/>
    <w:rsid w:val="00C24F76"/>
    <w:rsid w:val="00EC14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48"/>
    <w:pPr>
      <w:spacing w:after="0" w:line="240" w:lineRule="auto"/>
    </w:pPr>
    <w:rPr>
      <w:rFonts w:ascii="Calibri" w:eastAsia="Calibri" w:hAnsi="Calibri" w:cs="Arial"/>
      <w:sz w:val="20"/>
      <w:szCs w:val="20"/>
      <w:lang w:val="en-US"/>
    </w:rPr>
  </w:style>
  <w:style w:type="paragraph" w:styleId="Heading1">
    <w:name w:val="heading 1"/>
    <w:next w:val="Normal"/>
    <w:link w:val="Heading1Char"/>
    <w:uiPriority w:val="9"/>
    <w:qFormat/>
    <w:rsid w:val="00EC1448"/>
    <w:pPr>
      <w:keepNext/>
      <w:keepLines/>
      <w:spacing w:after="130" w:line="264" w:lineRule="auto"/>
      <w:ind w:left="10" w:hanging="10"/>
      <w:jc w:val="center"/>
      <w:outlineLvl w:val="0"/>
    </w:pPr>
    <w:rPr>
      <w:rFonts w:ascii="Times New Roman" w:eastAsia="Times New Roman" w:hAnsi="Times New Roman" w:cs="Times New Roman"/>
      <w:b/>
      <w:color w:val="00000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48"/>
    <w:rPr>
      <w:rFonts w:ascii="Times New Roman" w:eastAsia="Times New Roman" w:hAnsi="Times New Roman" w:cs="Times New Roman"/>
      <w:b/>
      <w:color w:val="000000"/>
      <w:sz w:val="28"/>
      <w:szCs w:val="20"/>
      <w:lang w:val="en-US"/>
    </w:rPr>
  </w:style>
  <w:style w:type="character" w:styleId="Hyperlink">
    <w:name w:val="Hyperlink"/>
    <w:basedOn w:val="DefaultParagraphFont"/>
    <w:uiPriority w:val="99"/>
    <w:semiHidden/>
    <w:unhideWhenUsed/>
    <w:rsid w:val="00EC1448"/>
    <w:rPr>
      <w:color w:val="0563C1"/>
      <w:u w:val="single"/>
    </w:rPr>
  </w:style>
  <w:style w:type="paragraph" w:styleId="BodyText">
    <w:name w:val="Body Text"/>
    <w:basedOn w:val="Normal"/>
    <w:link w:val="BodyTextChar"/>
    <w:uiPriority w:val="99"/>
    <w:unhideWhenUsed/>
    <w:rsid w:val="00EC1448"/>
    <w:pPr>
      <w:spacing w:after="120"/>
    </w:pPr>
  </w:style>
  <w:style w:type="character" w:customStyle="1" w:styleId="BodyTextChar">
    <w:name w:val="Body Text Char"/>
    <w:basedOn w:val="DefaultParagraphFont"/>
    <w:link w:val="BodyText"/>
    <w:uiPriority w:val="99"/>
    <w:rsid w:val="00EC1448"/>
    <w:rPr>
      <w:rFonts w:ascii="Calibri" w:eastAsia="Calibri" w:hAnsi="Calibri" w:cs="Arial"/>
      <w:sz w:val="20"/>
      <w:szCs w:val="20"/>
      <w:lang w:val="en-US"/>
    </w:rPr>
  </w:style>
  <w:style w:type="paragraph" w:styleId="ListParagraph">
    <w:name w:val="List Paragraph"/>
    <w:basedOn w:val="Normal"/>
    <w:uiPriority w:val="34"/>
    <w:qFormat/>
    <w:rsid w:val="00C24F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48"/>
    <w:pPr>
      <w:spacing w:after="0" w:line="240" w:lineRule="auto"/>
    </w:pPr>
    <w:rPr>
      <w:rFonts w:ascii="Calibri" w:eastAsia="Calibri" w:hAnsi="Calibri" w:cs="Arial"/>
      <w:sz w:val="20"/>
      <w:szCs w:val="20"/>
      <w:lang w:val="en-US"/>
    </w:rPr>
  </w:style>
  <w:style w:type="paragraph" w:styleId="Heading1">
    <w:name w:val="heading 1"/>
    <w:next w:val="Normal"/>
    <w:link w:val="Heading1Char"/>
    <w:uiPriority w:val="9"/>
    <w:qFormat/>
    <w:rsid w:val="00EC1448"/>
    <w:pPr>
      <w:keepNext/>
      <w:keepLines/>
      <w:spacing w:after="130" w:line="264" w:lineRule="auto"/>
      <w:ind w:left="10" w:hanging="10"/>
      <w:jc w:val="center"/>
      <w:outlineLvl w:val="0"/>
    </w:pPr>
    <w:rPr>
      <w:rFonts w:ascii="Times New Roman" w:eastAsia="Times New Roman" w:hAnsi="Times New Roman" w:cs="Times New Roman"/>
      <w:b/>
      <w:color w:val="00000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48"/>
    <w:rPr>
      <w:rFonts w:ascii="Times New Roman" w:eastAsia="Times New Roman" w:hAnsi="Times New Roman" w:cs="Times New Roman"/>
      <w:b/>
      <w:color w:val="000000"/>
      <w:sz w:val="28"/>
      <w:szCs w:val="20"/>
      <w:lang w:val="en-US"/>
    </w:rPr>
  </w:style>
  <w:style w:type="character" w:styleId="Hyperlink">
    <w:name w:val="Hyperlink"/>
    <w:basedOn w:val="DefaultParagraphFont"/>
    <w:uiPriority w:val="99"/>
    <w:semiHidden/>
    <w:unhideWhenUsed/>
    <w:rsid w:val="00EC1448"/>
    <w:rPr>
      <w:color w:val="0563C1"/>
      <w:u w:val="single"/>
    </w:rPr>
  </w:style>
  <w:style w:type="paragraph" w:styleId="BodyText">
    <w:name w:val="Body Text"/>
    <w:basedOn w:val="Normal"/>
    <w:link w:val="BodyTextChar"/>
    <w:uiPriority w:val="99"/>
    <w:unhideWhenUsed/>
    <w:rsid w:val="00EC1448"/>
    <w:pPr>
      <w:spacing w:after="120"/>
    </w:pPr>
  </w:style>
  <w:style w:type="character" w:customStyle="1" w:styleId="BodyTextChar">
    <w:name w:val="Body Text Char"/>
    <w:basedOn w:val="DefaultParagraphFont"/>
    <w:link w:val="BodyText"/>
    <w:uiPriority w:val="99"/>
    <w:rsid w:val="00EC1448"/>
    <w:rPr>
      <w:rFonts w:ascii="Calibri" w:eastAsia="Calibri" w:hAnsi="Calibri" w:cs="Arial"/>
      <w:sz w:val="20"/>
      <w:szCs w:val="20"/>
      <w:lang w:val="en-US"/>
    </w:rPr>
  </w:style>
  <w:style w:type="paragraph" w:styleId="ListParagraph">
    <w:name w:val="List Paragraph"/>
    <w:basedOn w:val="Normal"/>
    <w:uiPriority w:val="34"/>
    <w:qFormat/>
    <w:rsid w:val="00C24F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Pulsus01</dc:creator>
  <cp:lastModifiedBy>Pulsus01</cp:lastModifiedBy>
  <cp:revision>1</cp:revision>
  <dcterms:created xsi:type="dcterms:W3CDTF">2022-10-17T09:25:00Z</dcterms:created>
  <dcterms:modified xsi:type="dcterms:W3CDTF">2022-10-17T10:11:00Z</dcterms:modified>
</cp:coreProperties>
</file>