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9C" w:rsidRDefault="0076329C" w:rsidP="00E04DFF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proofErr w:type="spellStart"/>
      <w:r w:rsidRPr="0076329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Neuroprotective</w:t>
      </w:r>
      <w:proofErr w:type="spellEnd"/>
      <w:r w:rsidRPr="0076329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effect of </w:t>
      </w:r>
      <w:proofErr w:type="spellStart"/>
      <w:r w:rsidRPr="0076329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liraglutide</w:t>
      </w:r>
      <w:proofErr w:type="spellEnd"/>
      <w:r w:rsidRPr="0076329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in an experimental mouse model of multiple sclerosis: role of AMPK/SIRT1 signaling and NLRP3 </w:t>
      </w:r>
      <w:proofErr w:type="spellStart"/>
      <w:r w:rsidRPr="0076329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inflammasome</w:t>
      </w:r>
      <w:proofErr w:type="spellEnd"/>
    </w:p>
    <w:p w:rsidR="0076329C" w:rsidRDefault="0076329C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6329C">
        <w:rPr>
          <w:rFonts w:ascii="Times New Roman" w:hAnsi="Times New Roman" w:cs="Times New Roman"/>
          <w:sz w:val="24"/>
          <w:szCs w:val="24"/>
        </w:rPr>
        <w:t>Marwa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M. Safar </w:t>
      </w:r>
    </w:p>
    <w:p w:rsidR="00691AAB" w:rsidRPr="00E04DFF" w:rsidRDefault="0076329C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76329C">
        <w:rPr>
          <w:rFonts w:ascii="Times New Roman" w:hAnsi="Times New Roman" w:cs="Times New Roman"/>
          <w:sz w:val="22"/>
          <w:szCs w:val="24"/>
        </w:rPr>
        <w:t>The British University in Egypt</w:t>
      </w:r>
      <w:r>
        <w:rPr>
          <w:rFonts w:ascii="Times New Roman" w:hAnsi="Times New Roman" w:cs="Times New Roman"/>
          <w:sz w:val="22"/>
          <w:szCs w:val="24"/>
        </w:rPr>
        <w:t>,</w:t>
      </w:r>
      <w:r w:rsidRPr="0076329C">
        <w:t xml:space="preserve"> </w:t>
      </w:r>
      <w:proofErr w:type="spellStart"/>
      <w:r w:rsidRPr="0076329C">
        <w:rPr>
          <w:rFonts w:ascii="Times New Roman" w:hAnsi="Times New Roman" w:cs="Times New Roman"/>
          <w:sz w:val="22"/>
          <w:szCs w:val="24"/>
        </w:rPr>
        <w:t>Egypt</w:t>
      </w:r>
      <w:proofErr w:type="spellEnd"/>
    </w:p>
    <w:p w:rsidR="00727EA8" w:rsidRDefault="00727EA8" w:rsidP="0076329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329C" w:rsidRDefault="0076329C" w:rsidP="0076329C">
      <w:pPr>
        <w:jc w:val="both"/>
        <w:rPr>
          <w:rFonts w:ascii="Times New Roman" w:eastAsia="Tw Cen MT" w:hAnsi="Times New Roman" w:cs="Times New Roman"/>
          <w:sz w:val="24"/>
          <w:szCs w:val="24"/>
          <w:lang w:val="en-US"/>
        </w:rPr>
      </w:pPr>
      <w:proofErr w:type="spellStart"/>
      <w:r w:rsidRPr="007632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heterogeneous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of multiple sclerosis (MS) and the unavailability of treatments addressing its intricate network and reversing the disease state is yet an area that needs to be elucidated.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, a glucagon-like peptide-1 analogue, recently exhibited intriguing potential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neuroprotective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effects. The currents study investigated its potential effect against mouse model of MS and the possible underlying mechanisms. Demyelination was induced in C57Bl/6 mice by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cuprizone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(400 mg/kg/day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p.o.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) for 5 weeks. Animals received either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(25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/kg/day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.) or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dorsomorphin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, an AMPK inhibitor, (2.5 mg/ Kg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.) 30 min before the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dose, for 4 weeks (starting from the second week).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improved the behavioral profile in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cuprizone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-treated mice. Furthermore, it induced the re-myelination process through stimulating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oligodendrocyte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progenitor cells differentiation via Olig2 transcription activation, reflected by increased myelin basic protein and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myelinated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nerve fiber percentage.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elevated the protein content of p-AMPK and SIRT1, in addition to the autophagy proteins Beclin-1 and LC3B.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halted cellular damage as manifested by reduced HMGB1 protein and consequently TLR-4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downregulation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>, coupled with a decrease in NF-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also suppressed NLRP3 transcription.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Dorsomorphin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preadministration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indicated a possible interplay between AMPK/SIRT1 and NLRP3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inflammasome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activation as it partially reversed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liraglutide’s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effects.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examination of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Iba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+ microglia emphasized these findings. In conclusion,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liraglutide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exerts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neuroprotection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against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cuprizone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-induced demyelination via anti-inflammatory,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autophagic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flux activation, NLRP3 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inflammasome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 xml:space="preserve"> suppression, and anti-apoptotic mechanisms, possibly mediated, at least in part, via AMPK/SIRT1, autophagy, TLR-4/ NF-</w:t>
      </w:r>
      <w:proofErr w:type="spellStart"/>
      <w:r w:rsidRPr="0076329C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76329C">
        <w:rPr>
          <w:rFonts w:ascii="Times New Roman" w:hAnsi="Times New Roman" w:cs="Times New Roman"/>
          <w:sz w:val="24"/>
          <w:szCs w:val="24"/>
        </w:rPr>
        <w:t>/NLRP3 signaling.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29C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The potential mechanistic insight of Lira in alleviating Cup-induced neurotoxicity via: (1) AMPK/SIRT1 pathways activation resulting in the stimulation of brain autophagy flux (confirmed by lowering Beclin-1 and LC3-B protein expression). (2) Inhibition of NLRP3 </w:t>
      </w:r>
      <w:proofErr w:type="spellStart"/>
      <w:r w:rsidRPr="0076329C">
        <w:rPr>
          <w:rFonts w:ascii="Times New Roman" w:eastAsia="Tw Cen MT" w:hAnsi="Times New Roman" w:cs="Times New Roman"/>
          <w:sz w:val="24"/>
          <w:szCs w:val="24"/>
          <w:lang w:val="en-US"/>
        </w:rPr>
        <w:t>inflammasome</w:t>
      </w:r>
      <w:proofErr w:type="spellEnd"/>
      <w:r w:rsidRPr="0076329C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activation, as evidenced by reduced HMGB1, TLR-4, NF-</w:t>
      </w:r>
      <w:proofErr w:type="spellStart"/>
      <w:r w:rsidRPr="0076329C">
        <w:rPr>
          <w:rFonts w:ascii="Times New Roman" w:eastAsia="Tw Cen MT" w:hAnsi="Times New Roman" w:cs="Times New Roman"/>
          <w:sz w:val="24"/>
          <w:szCs w:val="24"/>
          <w:lang w:val="en-US"/>
        </w:rPr>
        <w:t>κB</w:t>
      </w:r>
      <w:proofErr w:type="spellEnd"/>
      <w:r w:rsidRPr="0076329C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and NLRP3 protein expression, alongside diminishing the activation of its downstream cascade as reflected by reduced levels of caspase-1 and IL-1β protein expression. (3) A possible modulating interplay between the previously mentioned two pathways.</w:t>
      </w:r>
    </w:p>
    <w:p w:rsidR="0076329C" w:rsidRPr="0076329C" w:rsidRDefault="0076329C" w:rsidP="0076329C">
      <w:pPr>
        <w:jc w:val="both"/>
        <w:rPr>
          <w:rFonts w:ascii="Times New Roman" w:eastAsia="Tw Cen MT" w:hAnsi="Times New Roman" w:cs="Times New Roman"/>
          <w:sz w:val="24"/>
          <w:szCs w:val="24"/>
          <w:lang w:val="en-US"/>
        </w:rPr>
      </w:pPr>
    </w:p>
    <w:p w:rsidR="0076329C" w:rsidRPr="0076329C" w:rsidRDefault="0076329C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691AAB" w:rsidRPr="00E04DFF" w:rsidRDefault="00691AAB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  <w:r w:rsidRPr="00520DB1">
        <w:rPr>
          <w:rFonts w:ascii="Arial" w:hAnsi="Arial" w:cs="Arial"/>
          <w:b/>
          <w:bCs/>
          <w:noProof/>
          <w:sz w:val="18"/>
          <w:szCs w:val="18"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17272F4A" wp14:editId="554DE945">
            <wp:simplePos x="0" y="0"/>
            <wp:positionH relativeFrom="column">
              <wp:posOffset>1181617</wp:posOffset>
            </wp:positionH>
            <wp:positionV relativeFrom="paragraph">
              <wp:posOffset>-538923</wp:posOffset>
            </wp:positionV>
            <wp:extent cx="2856865" cy="193103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76329C" w:rsidRDefault="0076329C" w:rsidP="00E04DFF">
      <w:pPr>
        <w:jc w:val="center"/>
        <w:rPr>
          <w:rFonts w:ascii="Times New Roman" w:hAnsi="Times New Roman" w:cs="Times New Roman"/>
          <w:b/>
          <w:i/>
          <w:sz w:val="18"/>
          <w:szCs w:val="24"/>
          <w:lang w:val="en-IN"/>
        </w:rPr>
      </w:pPr>
    </w:p>
    <w:p w:rsidR="00691AAB" w:rsidRPr="00E04DFF" w:rsidRDefault="00691AAB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US"/>
        </w:rPr>
      </w:pPr>
      <w:proofErr w:type="gramStart"/>
      <w:r w:rsidRPr="00E04DFF">
        <w:rPr>
          <w:rFonts w:ascii="Times New Roman" w:hAnsi="Times New Roman" w:cs="Times New Roman"/>
          <w:b/>
          <w:i/>
          <w:sz w:val="18"/>
          <w:szCs w:val="24"/>
          <w:lang w:val="en-IN"/>
        </w:rPr>
        <w:t>Figure 1.</w:t>
      </w:r>
      <w:proofErr w:type="gramEnd"/>
      <w:r w:rsidRPr="00E04DFF">
        <w:rPr>
          <w:rFonts w:ascii="Times New Roman" w:hAnsi="Times New Roman" w:cs="Times New Roman"/>
          <w:b/>
          <w:i/>
          <w:sz w:val="18"/>
          <w:szCs w:val="24"/>
          <w:lang w:val="en-IN"/>
        </w:rPr>
        <w:t> </w:t>
      </w:r>
      <w:proofErr w:type="spellStart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>Neuroprotective</w:t>
      </w:r>
      <w:proofErr w:type="spellEnd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 xml:space="preserve"> effect of </w:t>
      </w:r>
      <w:proofErr w:type="spellStart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>liraglutide</w:t>
      </w:r>
      <w:proofErr w:type="spellEnd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 xml:space="preserve"> in an experimental mouse model of multiple sclerosis: role of AMPK/SIRT1 </w:t>
      </w:r>
      <w:proofErr w:type="spellStart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>signaling</w:t>
      </w:r>
      <w:proofErr w:type="spellEnd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 xml:space="preserve"> and NLRP3 </w:t>
      </w:r>
      <w:proofErr w:type="spellStart"/>
      <w:r w:rsidR="0076329C" w:rsidRPr="0076329C">
        <w:rPr>
          <w:rFonts w:ascii="Times New Roman" w:hAnsi="Times New Roman" w:cs="Times New Roman"/>
          <w:i/>
          <w:sz w:val="18"/>
          <w:szCs w:val="24"/>
          <w:lang w:val="en-IN"/>
        </w:rPr>
        <w:t>inflammasome</w:t>
      </w:r>
      <w:proofErr w:type="spellEnd"/>
    </w:p>
    <w:p w:rsidR="00E04DFF" w:rsidRPr="00E04DFF" w:rsidRDefault="00EB410E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B7307" w:rsidRPr="00270966" w:rsidRDefault="00EB410E" w:rsidP="00EB410E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EB410E">
        <w:rPr>
          <w:rFonts w:ascii="Times New Roman" w:hAnsi="Times New Roman" w:cs="Times New Roman"/>
          <w:sz w:val="20"/>
          <w:szCs w:val="24"/>
          <w:lang w:val="en-US"/>
        </w:rPr>
        <w:t>Marwa</w:t>
      </w:r>
      <w:proofErr w:type="spellEnd"/>
      <w:r w:rsidRPr="00EB410E">
        <w:rPr>
          <w:rFonts w:ascii="Times New Roman" w:hAnsi="Times New Roman" w:cs="Times New Roman"/>
          <w:sz w:val="20"/>
          <w:szCs w:val="24"/>
          <w:lang w:val="en-US"/>
        </w:rPr>
        <w:t xml:space="preserve"> M. Safar has obtained her PhD in Pharmacology and Toxicology at Faculty of pharmacy, Cairo University in 2009. She is currently working as a Professor of Pharmacology and Head of Pharmacology &amp; Biochemistry Department, Faculty of Pharmacy at the British University in Egypt. She has more than 50 international publications. Her main interest is neuropharmacology mainly pharmacological research in neurodegenerative diseases.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524CE0"/>
    <w:rsid w:val="00691AAB"/>
    <w:rsid w:val="007245CF"/>
    <w:rsid w:val="00727EA8"/>
    <w:rsid w:val="0076329C"/>
    <w:rsid w:val="00861368"/>
    <w:rsid w:val="008D2886"/>
    <w:rsid w:val="00AB1CA2"/>
    <w:rsid w:val="00AB22C7"/>
    <w:rsid w:val="00B82905"/>
    <w:rsid w:val="00E04DFF"/>
    <w:rsid w:val="00EB410E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Shorya Sharma</cp:lastModifiedBy>
  <cp:revision>3</cp:revision>
  <dcterms:created xsi:type="dcterms:W3CDTF">2022-10-17T08:55:00Z</dcterms:created>
  <dcterms:modified xsi:type="dcterms:W3CDTF">2022-10-17T08:56:00Z</dcterms:modified>
</cp:coreProperties>
</file>